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33804cdf0439c" /></Relationships>
</file>

<file path=word/document.xml><?xml version="1.0" encoding="utf-8"?>
<w:document xmlns:w="http://schemas.openxmlformats.org/wordprocessingml/2006/main">
  <w:body>
    <w:p>
      <w:r>
        <w:t>S-1700.1</w:t>
      </w:r>
    </w:p>
    <w:p>
      <w:pPr>
        <w:jc w:val="center"/>
      </w:pPr>
      <w:r>
        <w:t>_______________________________________________</w:t>
      </w:r>
    </w:p>
    <w:p/>
    <w:p>
      <w:pPr>
        <w:jc w:val="center"/>
      </w:pPr>
      <w:r>
        <w:rPr>
          <w:b/>
        </w:rPr>
        <w:t>SUBSTITUTE SENATE BILL 5620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Hobbs, Fain, Mullet, and Palumbo)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48.177.010, 51.12.020, 46.72.010, 46.74.020, and 50.04.100; reenacting and amending RCW 42.56.270 and 43.79A.040; adding a new chapter to Title 46 RCW; recodifying RCW 48.177.010; and repealing RCW 48.177.005.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"Municipality" means a city or town with a certificate of incorporation, or township created by an act of the state.</w:t>
      </w:r>
    </w:p>
    <w:p>
      <w:pPr>
        <w:spacing w:before="0" w:after="0" w:line="408" w:lineRule="exact"/>
        <w:ind w:left="0" w:right="0" w:firstLine="576"/>
        <w:jc w:val="left"/>
      </w:pPr>
      <w:r>
        <w:rPr/>
        <w:t xml:space="preserve">(3) "Prearranged ride" means the provision of transportation or a trip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by a taxi, limousine, motor carrier as defined in RCW 81.80.010, or other for hire vehicle or pursuant to chapter 46.72, 46.73, or 81.72 RCW; or (b) a shared expense carpool or vanpool arrangement or service as defined as ride sharing in RCW 46.74.010.</w:t>
      </w:r>
    </w:p>
    <w:p>
      <w:pPr>
        <w:spacing w:before="0" w:after="0" w:line="408" w:lineRule="exact"/>
        <w:ind w:left="0" w:right="0" w:firstLine="576"/>
        <w:jc w:val="left"/>
      </w:pPr>
      <w:r>
        <w:rPr/>
        <w:t xml:space="preserve">(4)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or taxicab transportation service provided under chapter 46.72 or 81.72 RCW.</w:t>
      </w:r>
    </w:p>
    <w:p>
      <w:pPr>
        <w:spacing w:before="0" w:after="0" w:line="408" w:lineRule="exact"/>
        <w:ind w:left="0" w:right="0" w:firstLine="576"/>
        <w:jc w:val="left"/>
      </w:pPr>
      <w:r>
        <w:rPr/>
        <w:t xml:space="preserve">(5)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(6)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(7)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(8) "Transportation network company vehicle" means a vehicle that is:</w:t>
      </w:r>
    </w:p>
    <w:p>
      <w:pPr>
        <w:spacing w:before="0" w:after="0" w:line="408" w:lineRule="exact"/>
        <w:ind w:left="0" w:right="0" w:firstLine="576"/>
        <w:jc w:val="left"/>
      </w:pPr>
      <w:r>
        <w:rPr/>
        <w:t xml:space="preserve">(a) Used by a transportation network company driver to provide a prearranged ride;</w:t>
      </w:r>
    </w:p>
    <w:p>
      <w:pPr>
        <w:spacing w:before="0" w:after="0" w:line="408" w:lineRule="exact"/>
        <w:ind w:left="0" w:right="0" w:firstLine="576"/>
        <w:jc w:val="left"/>
      </w:pPr>
      <w:r>
        <w:rPr/>
        <w:t xml:space="preserve">(b) Owned, leased, or otherwise authorized for use by the transportation network company driver; and</w:t>
      </w:r>
    </w:p>
    <w:p>
      <w:pPr>
        <w:spacing w:before="0" w:after="0" w:line="408" w:lineRule="exact"/>
        <w:ind w:left="0" w:right="0" w:firstLine="576"/>
        <w:jc w:val="left"/>
      </w:pPr>
      <w:r>
        <w:rPr/>
        <w:t xml:space="preserve">(c) Not a taxicab, limousine, commuter ride-sharing vehicle, or for hire vehicle for purposes of chapter 46.72, 46.72A, 46.73, 46.74, 46.76, or 81.72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or for hire vehicle services pursuant to chapter 46.72, 46.73,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five thousand dollars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a state of emergency, as declared by the governor or the president of the United States, a transportation network company may not charge a fare for transportation network company services provided to any transportation network company rider that exceeds two and one-half times the base 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a reasonable period of time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is an independent contractor and not an employee of the transportation network company if all of the following conditions are met:</w:t>
      </w:r>
    </w:p>
    <w:p>
      <w:pPr>
        <w:spacing w:before="0" w:after="0" w:line="408" w:lineRule="exact"/>
        <w:ind w:left="0" w:right="0" w:firstLine="576"/>
        <w:jc w:val="left"/>
      </w:pPr>
      <w:r>
        <w:rPr/>
        <w:t xml:space="preserve">(1) The transportation network company does not unilaterally prescribe specific hours during which a transportation network company driver must be logged in to the transportation network company's digital network;</w:t>
      </w:r>
    </w:p>
    <w:p>
      <w:pPr>
        <w:spacing w:before="0" w:after="0" w:line="408" w:lineRule="exact"/>
        <w:ind w:left="0" w:right="0" w:firstLine="576"/>
        <w:jc w:val="left"/>
      </w:pPr>
      <w:r>
        <w:rPr/>
        <w:t xml:space="preserve">(2) The transportation network company imposes no restrictions on the transportation network company driver's ability to utilize a digital network from any other transportation network company;</w:t>
      </w:r>
    </w:p>
    <w:p>
      <w:pPr>
        <w:spacing w:before="0" w:after="0" w:line="408" w:lineRule="exact"/>
        <w:ind w:left="0" w:right="0" w:firstLine="576"/>
        <w:jc w:val="left"/>
      </w:pPr>
      <w:r>
        <w:rPr/>
        <w:t xml:space="preserve">(3) The transportation network company does not restrict a transportation network company driver from engaging in any other occupation or business; and</w:t>
      </w:r>
    </w:p>
    <w:p>
      <w:pPr>
        <w:spacing w:before="0" w:after="0" w:line="408" w:lineRule="exact"/>
        <w:ind w:left="0" w:right="0" w:firstLine="576"/>
        <w:jc w:val="left"/>
      </w:pPr>
      <w:r>
        <w:rPr/>
        <w:t xml:space="preserve">(4) The transportation network company and transportation network company driver agree in writing that the transportation network company driver is an independent contractor with respect to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 If the transportation network company determines that the transportation network company driver violated the zero tolerance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research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w:t>
      </w:r>
    </w:p>
    <w:p>
      <w:pPr>
        <w:spacing w:before="0" w:after="0" w:line="408" w:lineRule="exact"/>
        <w:ind w:left="0" w:right="0" w:firstLine="576"/>
        <w:jc w:val="left"/>
      </w:pPr>
      <w:r>
        <w:rPr/>
        <w:t xml:space="preserve">(iv) Any sex offense as defined in RCW 9.94A.030; or</w:t>
      </w:r>
    </w:p>
    <w:p>
      <w:pPr>
        <w:spacing w:before="0" w:after="0" w:line="408" w:lineRule="exact"/>
        <w:ind w:left="0" w:right="0" w:firstLine="576"/>
        <w:jc w:val="left"/>
      </w:pPr>
      <w:r>
        <w:rPr/>
        <w:t xml:space="preserve">(v) Driving under the influence, hit and run, or any other driving-related crime pursuant to RCW 46.61.500 through 46.61.540;</w:t>
      </w:r>
    </w:p>
    <w:p>
      <w:pPr>
        <w:spacing w:before="0" w:after="0" w:line="408" w:lineRule="exact"/>
        <w:ind w:left="0" w:right="0" w:firstLine="576"/>
        <w:jc w:val="left"/>
      </w:pPr>
      <w:r>
        <w:rPr/>
        <w:t xml:space="preserve">(c)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twenty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All exterior lights, including headlights, taillights, brake lights, turn indicator lights, and hazard lights;</w:t>
      </w:r>
    </w:p>
    <w:p>
      <w:pPr>
        <w:spacing w:before="0" w:after="0" w:line="408" w:lineRule="exact"/>
        <w:ind w:left="0" w:right="0" w:firstLine="576"/>
        <w:jc w:val="left"/>
      </w:pPr>
      <w:r>
        <w:rPr/>
        <w:t xml:space="preserve">(viii) Interior dome light;</w:t>
      </w:r>
    </w:p>
    <w:p>
      <w:pPr>
        <w:spacing w:before="0" w:after="0" w:line="408" w:lineRule="exact"/>
        <w:ind w:left="0" w:right="0" w:firstLine="576"/>
        <w:jc w:val="left"/>
      </w:pPr>
      <w:r>
        <w:rPr/>
        <w:t xml:space="preserve">(ix) Heating and cooling;</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 (open, close, lock);</w:t>
      </w:r>
    </w:p>
    <w:p>
      <w:pPr>
        <w:spacing w:before="0" w:after="0" w:line="408" w:lineRule="exact"/>
        <w:ind w:left="0" w:right="0" w:firstLine="576"/>
        <w:jc w:val="left"/>
      </w:pPr>
      <w:r>
        <w:rPr/>
        <w:t xml:space="preserve">(xii) Horn;</w:t>
      </w:r>
    </w:p>
    <w:p>
      <w:pPr>
        <w:spacing w:before="0" w:after="0" w:line="408" w:lineRule="exact"/>
        <w:ind w:left="0" w:right="0" w:firstLine="576"/>
        <w:jc w:val="left"/>
      </w:pPr>
      <w:r>
        <w:rPr/>
        <w:t xml:space="preserve">(xiii) Instrument panel and gauges;</w:t>
      </w:r>
    </w:p>
    <w:p>
      <w:pPr>
        <w:spacing w:before="0" w:after="0" w:line="408" w:lineRule="exact"/>
        <w:ind w:left="0" w:right="0" w:firstLine="576"/>
        <w:jc w:val="left"/>
      </w:pPr>
      <w:r>
        <w:rPr/>
        <w:t xml:space="preserve">(xiv) Bumpers;</w:t>
      </w:r>
    </w:p>
    <w:p>
      <w:pPr>
        <w:spacing w:before="0" w:after="0" w:line="408" w:lineRule="exact"/>
        <w:ind w:left="0" w:right="0" w:firstLine="576"/>
        <w:jc w:val="left"/>
      </w:pPr>
      <w:r>
        <w:rPr/>
        <w:t xml:space="preserve">(xv) Muffler and exhaust system;</w:t>
      </w:r>
    </w:p>
    <w:p>
      <w:pPr>
        <w:spacing w:before="0" w:after="0" w:line="408" w:lineRule="exact"/>
        <w:ind w:left="0" w:right="0" w:firstLine="576"/>
        <w:jc w:val="left"/>
      </w:pPr>
      <w:r>
        <w:rPr/>
        <w:t xml:space="preserve">(xvi) Condition of tires, including tread depth;</w:t>
      </w:r>
    </w:p>
    <w:p>
      <w:pPr>
        <w:spacing w:before="0" w:after="0" w:line="408" w:lineRule="exact"/>
        <w:ind w:left="0" w:right="0" w:firstLine="576"/>
        <w:jc w:val="left"/>
      </w:pPr>
      <w:r>
        <w:rPr/>
        <w:t xml:space="preserve">(xvii) Interior and exterior mirrors; and</w:t>
      </w:r>
    </w:p>
    <w:p>
      <w:pPr>
        <w:spacing w:before="0" w:after="0" w:line="408" w:lineRule="exact"/>
        <w:ind w:left="0" w:right="0" w:firstLine="576"/>
        <w:jc w:val="left"/>
      </w:pPr>
      <w:r>
        <w:rPr/>
        <w:t xml:space="preserve">(xiii) Safety belts for driver and passenger(s).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other than a trip arranged through the transportation network company's digital network;</w:t>
      </w:r>
    </w:p>
    <w:p>
      <w:pPr>
        <w:spacing w:before="0" w:after="0" w:line="408" w:lineRule="exact"/>
        <w:ind w:left="0" w:right="0" w:firstLine="576"/>
        <w:jc w:val="left"/>
      </w:pPr>
      <w:r>
        <w:rPr/>
        <w:t xml:space="preserve">(2) Provide transportation network company services for more than fourteen consecutive hours in a twenty-four 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biannually, the department, or the local authority for a city with a population of more than five hundred thousand or a county with a population of more than one million, may review a sample of records that the transportation network company is required to maintain under this chapter. The sample of records must be chosen randomly by the department or local authority in a manner agreeable to both parties. Any audit must take place at a mutually agreed location in the state of Washington. Any record sample furnished to the department or local authority may exclude information that would tend to identify specific transportation network company drivers or riders.</w:t>
      </w:r>
    </w:p>
    <w:p>
      <w:pPr>
        <w:spacing w:before="0" w:after="0" w:line="408" w:lineRule="exact"/>
        <w:ind w:left="0" w:right="0" w:firstLine="576"/>
        <w:jc w:val="left"/>
      </w:pPr>
      <w:r>
        <w:rPr/>
        <w:t xml:space="preserve">(2) Any records inspected under this chapter are designated confidential and are not subject to disclosure to a third party by the department or local authority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20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may be used to fund enforcement activities by the municipalities and counties relating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17 of this act, each prearranged ride provided by a transportation network company driver to a transportation network company rider that originates in a city with a population of five hundred thousand or more or in a county with a population of one million or more must be assessed a ten cent per trip surcharge fee to offset costs associated with improving transportation options for individuals with disabilities.</w:t>
      </w:r>
    </w:p>
    <w:p>
      <w:pPr>
        <w:spacing w:before="0" w:after="0" w:line="408" w:lineRule="exact"/>
        <w:ind w:left="0" w:right="0" w:firstLine="576"/>
        <w:jc w:val="left"/>
      </w:pPr>
      <w:r>
        <w:rPr/>
        <w:t xml:space="preserve">(2) The surcharge fee assessed under subsection (1) of this section may be used to provide for, but is not limited to, reimbursement for: Costs associated with converting or purchasing a vehicle to be used as a taxicab or transportation network company vehicle that is fully wheelchair accessible by ramp or lift; costs for a transportation network company, taxicab company, or other for hire vehicle company to provide wheelchair-accessible vehicle rides to customers when the cost to provide the ride exceeds the cost charged to the customer; or extra fuel and maintenance costs.</w:t>
      </w:r>
    </w:p>
    <w:p>
      <w:pPr>
        <w:spacing w:before="0" w:after="0" w:line="408" w:lineRule="exact"/>
        <w:ind w:left="0" w:right="0" w:firstLine="576"/>
        <w:jc w:val="left"/>
      </w:pPr>
      <w:r>
        <w:rPr/>
        <w:t xml:space="preserve">(3) The surcharge fee assessed under subsection (1) of this section must be remitted directly to each applicable city and county within thirty days of the end of each calendar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Any records, including proprietary financial, commercial, operations, and personal information and data submitted to or obtained by the department of licensing or any municipality or county under chapter 46.--- RCW (the new chapter created in section 30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 17(4) of this act must be deposited into the account. Expenditures from the account may be used only for the purposes provided in section 17(4)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fully occupies and preempts: The entire field of regulation of transportation network company licensing and permits for transportation network companies and transportation network company drivers; all requirements, applications, certifications, examinations, and background checks for transportation network company drivers, and the processing and adjudication of each; and all rate, entry, or operational requirements for transportation network companies within the boundaries of the state. Any political subdivision in this state may enforce only those laws and ordinances relating to the regulation of such fields concerning the transportation network company industry that are specifically authorized by state law and are consistent with this chapter. This section is not intended to limit, extend, address, affect, or permit the authority of any political subdivision to impose generally applicable requirements upon transportation network companies within its jurisdiction. Local laws and ordinances that are inconsistent with, more restrictive than, or exceed the requirements of this chapter may not be enacted and are preempted and repealed, regardless of the code, charter, or home rule status of such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A driver providing </w:t>
      </w:r>
      <w:r>
        <w:t>((</w:t>
      </w:r>
      <w:r>
        <w:rPr>
          <w:strike/>
        </w:rPr>
        <w:t xml:space="preserve">commercial</w:t>
      </w:r>
      <w:r>
        <w:t>))</w:t>
      </w:r>
      <w:r>
        <w:rPr/>
        <w:t xml:space="preserve"> transportation </w:t>
      </w:r>
      <w:r>
        <w:rPr>
          <w:u w:val="single"/>
        </w:rPr>
        <w:t xml:space="preserve">network company</w:t>
      </w:r>
      <w:r>
        <w:rPr/>
        <w:t xml:space="preserve"> services </w:t>
      </w:r>
      <w:r>
        <w:t>((</w:t>
      </w:r>
      <w:r>
        <w:rPr>
          <w:strike/>
        </w:rPr>
        <w:t xml:space="preserve">as defined in RCW 48.177.005</w:t>
      </w:r>
      <w:r>
        <w:t>))</w:t>
      </w:r>
      <w:r>
        <w:rPr/>
        <w:t xml:space="preserve"> </w:t>
      </w:r>
      <w:r>
        <w:rPr>
          <w:u w:val="single"/>
        </w:rPr>
        <w:t xml:space="preserve">under chapter 46.--- RCW (the new chapter created in section 30 of this act)</w:t>
      </w:r>
      <w:r>
        <w:rPr/>
        <w:t xml:space="preserve">. The driver may elect coverage in the manner provided by RCW 51.32.030.</w:t>
      </w:r>
    </w:p>
    <w:p>
      <w:pPr>
        <w:spacing w:before="0" w:after="0" w:line="408" w:lineRule="exact"/>
        <w:ind w:left="0" w:right="0" w:firstLine="576"/>
        <w:jc w:val="left"/>
      </w:pPr>
      <w:r>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vehicles used to provide transportation network company services under chapter 46.--- RCW (the new chapter created in section 30 of this act),</w:t>
      </w:r>
      <w:r>
        <w:rPr/>
        <w:t xml:space="preserve">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w:t>
      </w:r>
      <w:r>
        <w:rPr>
          <w:u w:val="single"/>
        </w:rPr>
        <w:t xml:space="preserve">However, for purposes of this title "employment" does not include transportation network company services performed by a transportation network company driver under chapter 46.--- RCW (the new chapter created in section 30 of this act), on or after January 1, 2011.</w:t>
      </w:r>
    </w:p>
    <w:p>
      <w:pPr>
        <w:spacing w:before="0" w:after="0" w:line="408" w:lineRule="exact"/>
        <w:ind w:left="0" w:right="0" w:firstLine="576"/>
        <w:jc w:val="left"/>
      </w:pPr>
      <w:r>
        <w:rPr/>
        <w:t xml:space="preserve">Except as provided by RCW 50.04.145, personal services performed for an employing unit by one or more contractors or subcontractors acting individually or as a partnership, which do not meet the provisions of RCW 50.04.140,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20, and 22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99aaa9c7494949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bd50f54854194" /><Relationship Type="http://schemas.openxmlformats.org/officeDocument/2006/relationships/footer" Target="/word/footer.xml" Id="R99aaa9c74949498a" /></Relationships>
</file>