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184377f4d4cad" /></Relationships>
</file>

<file path=word/document.xml><?xml version="1.0" encoding="utf-8"?>
<w:document xmlns:w="http://schemas.openxmlformats.org/wordprocessingml/2006/main">
  <w:body>
    <w:p>
      <w:r>
        <w:t>S-1102.1</w:t>
      </w:r>
    </w:p>
    <w:p>
      <w:pPr>
        <w:jc w:val="center"/>
      </w:pPr>
      <w:r>
        <w:t>_______________________________________________</w:t>
      </w:r>
    </w:p>
    <w:p/>
    <w:p>
      <w:pPr>
        <w:jc w:val="center"/>
      </w:pPr>
      <w:r>
        <w:rPr>
          <w:b/>
        </w:rPr>
        <w:t>SENATE BILL 5622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Mullet, Frockt, and Keiser</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career readiness standards and instruction into the program of basic education; amending RCW 28A.700.070 and 28A.655.070;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preparing students to be successful in postsecondary education, gainful employment, and citizenship requires instruction in academic standards, as well as the opportunity to acquire the skills and knowledge necessary to be ready for a rewarding career. The legislature finds that all students should be afforded the opportunity to learn skills and strategies that prepare students for living wage career pathways and active engagement in civic life. The legislature intends to more fully integrate career readiness standards and instruction into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2014 c 217 s 101 are each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and industry standards. The office shall submit the list of equivalent career and technical courses and their curriculum frameworks to the state board of education for review, an opportunity for public comment, and approval. The first list of courses under this subsection must be developed and approved before the 2015-16 school year. Thereafter, the office may periodically update or revise the list of courses using the process in this subsection.</w:t>
      </w:r>
    </w:p>
    <w:p>
      <w:pPr>
        <w:spacing w:before="0" w:after="0" w:line="408" w:lineRule="exact"/>
        <w:ind w:left="0" w:right="0" w:firstLine="576"/>
        <w:jc w:val="left"/>
      </w:pPr>
      <w:r>
        <w:rPr/>
        <w:t xml:space="preserve">(4) </w:t>
      </w:r>
      <w:r>
        <w:rPr>
          <w:u w:val="single"/>
        </w:rPr>
        <w:t xml:space="preserve">The office of the superintendent of public instruction, in consultation with one or more technical working groups convened for this purpose, shall develop a curriculum framework for a career and technical education course that may be offered by high schools, in which the content in social studies education is considered equivalent in full or in part to social studies courses that meet high school graduation requirements, including those that incorporate instruction in civics and financial literacy. The framework should also include the development of a high school and beyond plan satisfying the requirement of RCW 28A.230.090. The content of the course must be aligned with state essential academic learning requirements in social studies as adopted by the superintendent of public instruction, and be aligned with standards of career readiness as established in RCW 28A.655.070. The office shall submit the curriculum framework to the state board of education for review, an opportunity for public comment, and approval, and shall be available for implementation before the 2018-19 school year.</w:t>
      </w:r>
    </w:p>
    <w:p>
      <w:pPr>
        <w:spacing w:before="0" w:after="0" w:line="408" w:lineRule="exact"/>
        <w:ind w:left="0" w:right="0" w:firstLine="576"/>
        <w:jc w:val="left"/>
      </w:pPr>
      <w:r>
        <w:rPr>
          <w:u w:val="single"/>
        </w:rPr>
        <w:t xml:space="preserve">(5)</w:t>
      </w:r>
      <w:r>
        <w:rPr/>
        <w:t xml:space="preserve">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office of the superintendent of public instruction may require that grant recipients provide matching resources using federal Carl Perkins funds or other fund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w:t>
      </w:r>
      <w:r>
        <w:t>((</w:t>
      </w:r>
      <w:r>
        <w:rPr>
          <w:strike/>
        </w:rPr>
        <w:t xml:space="preserve">To the maximum extent possible</w:t>
      </w:r>
      <w:r>
        <w:t>))</w:t>
      </w:r>
      <w:r>
        <w:rPr/>
        <w:t xml:space="preserve"> </w:t>
      </w:r>
      <w:r>
        <w:rPr>
          <w:u w:val="single"/>
        </w:rPr>
        <w:t xml:space="preserve">Before the 2018-19 school year</w:t>
      </w:r>
      <w:r>
        <w:rPr/>
        <w:t xml:space="preserve">, the superintendent shall </w:t>
      </w:r>
      <w:r>
        <w:t>((</w:t>
      </w:r>
      <w:r>
        <w:rPr>
          <w:strike/>
        </w:rPr>
        <w:t xml:space="preserve">integrate</w:t>
      </w:r>
      <w:r>
        <w:t>))</w:t>
      </w:r>
      <w:r>
        <w:rPr/>
        <w:t xml:space="preserve"> </w:t>
      </w:r>
      <w:r>
        <w:rPr>
          <w:u w:val="single"/>
        </w:rPr>
        <w:t xml:space="preserve">develop a set of career readiness standards to guide the full integration of</w:t>
      </w:r>
      <w:r>
        <w:rPr/>
        <w:t xml:space="preserv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career readiness standards work group is established.</w:t>
      </w:r>
    </w:p>
    <w:p>
      <w:pPr>
        <w:spacing w:before="0" w:after="0" w:line="408" w:lineRule="exact"/>
        <w:ind w:left="0" w:right="0" w:firstLine="576"/>
        <w:jc w:val="left"/>
      </w:pPr>
      <w:r>
        <w:rPr/>
        <w:t xml:space="preserve">(2)(a) The work group shall be convened by the office of the superintendent of public instruction and must include representatives from the state board of education, business and labor members of the state workforce training and education coordinating board, the office of the superintendent of public instruction, the state board for community and technical colleges, and the student achievement council.</w:t>
      </w:r>
    </w:p>
    <w:p>
      <w:pPr>
        <w:spacing w:before="0" w:after="0" w:line="408" w:lineRule="exact"/>
        <w:ind w:left="0" w:right="0" w:firstLine="576"/>
        <w:jc w:val="left"/>
      </w:pPr>
      <w:r>
        <w:rPr/>
        <w:t xml:space="preserve">(b) The work group may invite, at its discretion, representatives from public and private Washington institutions of higher education and other agencies to provide advice and expertise.</w:t>
      </w:r>
    </w:p>
    <w:p>
      <w:pPr>
        <w:spacing w:before="0" w:after="0" w:line="408" w:lineRule="exact"/>
        <w:ind w:left="0" w:right="0" w:firstLine="576"/>
        <w:jc w:val="left"/>
      </w:pPr>
      <w:r>
        <w:rPr/>
        <w:t xml:space="preserve">(3) The purpose of the work group is to:</w:t>
      </w:r>
    </w:p>
    <w:p>
      <w:pPr>
        <w:spacing w:before="0" w:after="0" w:line="408" w:lineRule="exact"/>
        <w:ind w:left="0" w:right="0" w:firstLine="576"/>
        <w:jc w:val="left"/>
      </w:pPr>
      <w:r>
        <w:rPr/>
        <w:t xml:space="preserve">(a) Review examples of definitions and standards of career readiness adopted by other states;</w:t>
      </w:r>
    </w:p>
    <w:p>
      <w:pPr>
        <w:spacing w:before="0" w:after="0" w:line="408" w:lineRule="exact"/>
        <w:ind w:left="0" w:right="0" w:firstLine="576"/>
        <w:jc w:val="left"/>
      </w:pPr>
      <w:r>
        <w:rPr/>
        <w:t xml:space="preserve">(b) Review policies and practices in place in other states to integrate standards of career readiness into classroom instruction provided throughout the primary and secondary stages of public school;</w:t>
      </w:r>
    </w:p>
    <w:p>
      <w:pPr>
        <w:spacing w:before="0" w:after="0" w:line="408" w:lineRule="exact"/>
        <w:ind w:left="0" w:right="0" w:firstLine="576"/>
        <w:jc w:val="left"/>
      </w:pPr>
      <w:r>
        <w:rPr/>
        <w:t xml:space="preserve">(c) Review policies and practices in place in other states to integrate the development of a high school and beyond plan into the course-taking options and the identification of career pathway options for students; and</w:t>
      </w:r>
    </w:p>
    <w:p>
      <w:pPr>
        <w:spacing w:before="0" w:after="0" w:line="408" w:lineRule="exact"/>
        <w:ind w:left="0" w:right="0" w:firstLine="576"/>
        <w:jc w:val="left"/>
      </w:pPr>
      <w:r>
        <w:rPr/>
        <w:t xml:space="preserve">(d) Recommend a set of career readiness standards for consideration by the state board of education and the workforce training and education coordinating board, and eventual adoption by the superintendent.</w:t>
      </w:r>
    </w:p>
    <w:p>
      <w:pPr>
        <w:spacing w:before="0" w:after="0" w:line="408" w:lineRule="exact"/>
        <w:ind w:left="0" w:right="0" w:firstLine="576"/>
        <w:jc w:val="left"/>
      </w:pPr>
      <w:r>
        <w:rPr/>
        <w:t xml:space="preserve">(4)(a) The work group shall present its recommendations developed pursuant to subsection (3) of this section jointly to the state board of education and the workforce training and education coordinating board by September 15, 2017.</w:t>
      </w:r>
    </w:p>
    <w:p>
      <w:pPr>
        <w:spacing w:before="0" w:after="0" w:line="408" w:lineRule="exact"/>
        <w:ind w:left="0" w:right="0" w:firstLine="576"/>
        <w:jc w:val="left"/>
      </w:pPr>
      <w:r>
        <w:rPr/>
        <w:t xml:space="preserve">(b) The state board of education and the workforce training and education coordinating board shall report recommendations approved by both boards in a report to the education committees of the legislature by December 1, 2017.</w:t>
      </w:r>
    </w:p>
    <w:p>
      <w:pPr>
        <w:spacing w:before="0" w:after="0" w:line="408" w:lineRule="exact"/>
        <w:ind w:left="0" w:right="0" w:firstLine="576"/>
        <w:jc w:val="left"/>
      </w:pPr>
      <w:r>
        <w:rPr/>
        <w:t xml:space="preserve">(c) The superintendent shall adopt standards according to the requirements and timeline in RCW 28A.655.070.</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c5b7a3da1e524a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9d57515714f81" /><Relationship Type="http://schemas.openxmlformats.org/officeDocument/2006/relationships/footer" Target="/word/footer.xml" Id="Rc5b7a3da1e524a7c" /></Relationships>
</file>