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a312dff044597" /></Relationships>
</file>

<file path=word/document.xml><?xml version="1.0" encoding="utf-8"?>
<w:document xmlns:w="http://schemas.openxmlformats.org/wordprocessingml/2006/main">
  <w:body>
    <w:p>
      <w:r>
        <w:t>S-0722.2</w:t>
      </w:r>
    </w:p>
    <w:p>
      <w:pPr>
        <w:jc w:val="center"/>
      </w:pPr>
      <w:r>
        <w:t>_______________________________________________</w:t>
      </w:r>
    </w:p>
    <w:p/>
    <w:p>
      <w:pPr>
        <w:jc w:val="center"/>
      </w:pPr>
      <w:r>
        <w:rPr>
          <w:b/>
        </w:rPr>
        <w:t>SENATE BILL 5735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Hobbs</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pursuant to chapter 46.55 RCW; amending RCW 46.79.110, 70.95.030, and 70.95.065; reenacting and amending RCW 43.84.092; adding a new section to chapter 46.55 RCW; adding a new section to chapter 46.17 RCW; adding new sections to chapter 70.95 RCW; adding a new section to chapter 46.68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abandoned and impounded pursuant to chapter 46.55 RCW;</w:t>
      </w:r>
    </w:p>
    <w:p>
      <w:pPr>
        <w:spacing w:before="0" w:after="0" w:line="408" w:lineRule="exact"/>
        <w:ind w:left="0" w:right="0" w:firstLine="576"/>
        <w:jc w:val="left"/>
      </w:pPr>
      <w:r>
        <w:rPr/>
        <w:t xml:space="preserve">(2) Traditional methods of disposal are no longer adequate to meet the ever-increasing problem of abandoned recreational vehicles in this state;</w:t>
      </w:r>
    </w:p>
    <w:p>
      <w:pPr>
        <w:spacing w:before="0" w:after="0" w:line="408" w:lineRule="exact"/>
        <w:ind w:left="0" w:right="0" w:firstLine="576"/>
        <w:jc w:val="left"/>
      </w:pPr>
      <w:r>
        <w:rPr/>
        <w:t xml:space="preserve">(3) It is the responsibility of the state, county, and city governments to provide a process for registered tow truck operators and others to dispose of recreational vehicles in a manner that is environmentally safe and economically sound; and</w:t>
      </w:r>
    </w:p>
    <w:p>
      <w:pPr>
        <w:spacing w:before="0" w:after="0" w:line="408" w:lineRule="exact"/>
        <w:ind w:left="0" w:right="0" w:firstLine="576"/>
        <w:jc w:val="left"/>
      </w:pPr>
      <w:r>
        <w:rPr/>
        <w:t xml:space="preserve">(4) Adequate funding is necessary to resolve the problem of abandoned recreational vehicles so that registered tow truck operators may be successful in their duties of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as defined in RCW 70.95.030 to a solid waste disposal site without being licensed as a hulk hauler or scrap processor. The registered tow truck operator must meet all of the usual and customary requirements of licensing as a registered tow truck operator to comply with this section. The transport of an abandoned recreational vehicle by a registered tow truck operator under this chapter must be completed by utilizing a reasonable, direct, and safe route on the date of transport. The rate for this transport is subject to the rate and fee limitations as set forth in RCW 46.55.118.</w:t>
      </w:r>
    </w:p>
    <w:p>
      <w:pPr>
        <w:spacing w:before="0" w:after="0" w:line="408" w:lineRule="exact"/>
        <w:ind w:left="0" w:right="0" w:firstLine="576"/>
        <w:jc w:val="left"/>
      </w:pPr>
      <w:r>
        <w:rPr/>
        <w:t xml:space="preserve">(2) A registered tow truck operator must provide a written record of the delivery for each abandoned recreational vehicle to a solid waste disposal site by use of an abandoned vehicle report to be sent to the department through a means and on a form as established by the department. A copy of the report must be maintained in the vehicle transaction file. Completion of the report relieves the registered tow truck operator from any civil or criminal liability for the deconstruction and disposal of the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vehicle to a solid waste disposal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Before accepting an application for registration for a recreational vehicle as defined in RCW 70.95.030, the department, county auditor or other agent, or subagent appointed by the director shall require an applicant to pay an abandoned recreational vehicle deconstruction and disposal fee of four dollars, in addition to any other fees and taxes required by law. The fee must be deposited into the abandoned recreational vehicle deconstruction and disposal account created in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 "Abandoned recreational vehicle" means a recreational vehicle that has been impounded pursuant to chapter 46.55 RCW and not claimed by the registered or legal owner after notice pursuant to RCW 46.55.110.</w:t>
      </w:r>
    </w:p>
    <w:p>
      <w:pPr>
        <w:spacing w:before="0" w:after="0" w:line="408" w:lineRule="exact"/>
        <w:ind w:left="0" w:right="0" w:firstLine="576"/>
        <w:jc w:val="left"/>
      </w:pPr>
      <w:r>
        <w:rPr>
          <w:u w:val="single"/>
        </w:rPr>
        <w:t xml:space="preserve">(30)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may develop and administer a voluntary recreational vehicle turn-in program.</w:t>
      </w:r>
    </w:p>
    <w:p>
      <w:pPr>
        <w:spacing w:before="0" w:after="0" w:line="408" w:lineRule="exact"/>
        <w:ind w:left="0" w:right="0" w:firstLine="576"/>
        <w:jc w:val="left"/>
      </w:pPr>
      <w:r>
        <w:rPr/>
        <w:t xml:space="preserve">(2) The purpose of the voluntary recreational vehicle turn-in program is to allow the department to dismantle and dispose of recreational vehicles that pose a high risk of becoming an abandoned recreational vehicle, but that do not yet meet the definition of that term. The department must design the program with the goal of dismantling and disposing of as many recreational vehicles as available resources allow, particularly those recreational vehicles posing the greatest risk of becoming abandoned in the future.</w:t>
      </w:r>
    </w:p>
    <w:p>
      <w:pPr>
        <w:spacing w:before="0" w:after="0" w:line="408" w:lineRule="exact"/>
        <w:ind w:left="0" w:right="0" w:firstLine="576"/>
        <w:jc w:val="left"/>
      </w:pPr>
      <w:r>
        <w:rPr/>
        <w:t xml:space="preserve">(3) The department must disseminate information about the voluntary recreational vehicle turn-in program, including information about the application process, on its web site and through appropriate agency publications and information sources as determined by the department. The department must disseminate this information for a reasonable time as determined by the department before accepting applications.</w:t>
      </w:r>
    </w:p>
    <w:p>
      <w:pPr>
        <w:spacing w:before="0" w:after="0" w:line="408" w:lineRule="exact"/>
        <w:ind w:left="0" w:right="0" w:firstLine="576"/>
        <w:jc w:val="left"/>
      </w:pPr>
      <w:r>
        <w:rPr/>
        <w:t xml:space="preserve">(4) The department must accept and review voluntary recreational vehicle turn-in program applications from eligible recreational vehicle owners during the time period or periods identified by the department. To be eligible for the program, an applicant must demonstrate to the department's satisfaction that the applicant:</w:t>
      </w:r>
    </w:p>
    <w:p>
      <w:pPr>
        <w:spacing w:before="0" w:after="0" w:line="408" w:lineRule="exact"/>
        <w:ind w:left="0" w:right="0" w:firstLine="576"/>
        <w:jc w:val="left"/>
      </w:pPr>
      <w:r>
        <w:rPr/>
        <w:t xml:space="preserve">(a) Is a Washington resident or business; and</w:t>
      </w:r>
    </w:p>
    <w:p>
      <w:pPr>
        <w:spacing w:before="0" w:after="0" w:line="408" w:lineRule="exact"/>
        <w:ind w:left="0" w:right="0" w:firstLine="576"/>
        <w:jc w:val="left"/>
      </w:pPr>
      <w:r>
        <w:rPr/>
        <w:t xml:space="preserve">(b) Either owns a recreational vehicle that is in an advanced state of disrepair, has minimal or no value, and has a high likelihood of becoming an abandoned recreational vehicle or is a registered tow truck operator in possession of an abandoned recreational vehicle.</w:t>
      </w:r>
    </w:p>
    <w:p>
      <w:pPr>
        <w:spacing w:before="0" w:after="0" w:line="408" w:lineRule="exact"/>
        <w:ind w:left="0" w:right="0" w:firstLine="576"/>
        <w:jc w:val="left"/>
      </w:pPr>
      <w:r>
        <w:rPr/>
        <w:t xml:space="preserve">(5) Decisions regarding voluntary recreational vehicle turn-in program eligibility and whether to accept a recreational vehicle for dismantling and disposal under the program are within the sole discretion of the department.</w:t>
      </w:r>
    </w:p>
    <w:p>
      <w:pPr>
        <w:spacing w:before="0" w:after="0" w:line="408" w:lineRule="exact"/>
        <w:ind w:left="0" w:right="0" w:firstLine="576"/>
        <w:jc w:val="left"/>
      </w:pPr>
      <w:r>
        <w:rPr/>
        <w:t xml:space="preserve">(6) The department may take other actions not inconsistent with this section to develop and administer the voluntary recreational vehicle turn-in program.</w:t>
      </w:r>
    </w:p>
    <w:p>
      <w:pPr>
        <w:spacing w:before="0" w:after="0" w:line="408" w:lineRule="exact"/>
        <w:ind w:left="0" w:right="0" w:firstLine="576"/>
        <w:jc w:val="left"/>
      </w:pPr>
      <w:r>
        <w:rPr/>
        <w:t xml:space="preserve">(7) The department must report annually to the legislature on the implementation of this section. The annual report must be submitted to the legislature, consistent with RCW 43.01.036, by January 2nd of each year from 2018 through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After taking custody of an abandoned recreational vehicle, the local government may deconstruct and dispose of the abandoned recreational vehicle in any appropriate and environmentally sound manner without further notice to any owners. The local government must give preference to the least costly, environmentally sound, and reasonable deconstruction and disposal options. Any disposal operations must be consistent with the state solid waste disposal provisions in this chapter.</w:t>
      </w:r>
    </w:p>
    <w:p>
      <w:pPr>
        <w:spacing w:before="0" w:after="0" w:line="408" w:lineRule="exact"/>
        <w:ind w:left="0" w:right="0" w:firstLine="576"/>
        <w:jc w:val="left"/>
      </w:pPr>
      <w:r>
        <w:rPr/>
        <w:t xml:space="preserve">(2) Any county may apply to the department on a form prescribed by the department for financial aid for the preparation of the comprehensive county plan for solid waste management that provides for the deconstruction and disposal of abandoned recreational vehicles. Any city, a joint city plan, or a joint county-city plan for solid waste management of abandoned recreational vehicles may apply for financial aid for such purpose through the county. Every city application for financial aid for planning must be filed with the county auditor and be included as a part of the county's application for financial aid. Any city preparing an independent plan must provide for disposal sites wholly within its jurisdiction.</w:t>
      </w:r>
    </w:p>
    <w:p>
      <w:pPr>
        <w:spacing w:before="0" w:after="0" w:line="408" w:lineRule="exact"/>
        <w:ind w:left="0" w:right="0" w:firstLine="576"/>
        <w:jc w:val="left"/>
      </w:pPr>
      <w:r>
        <w:rPr/>
        <w:t xml:space="preserve">The department must allocate to the counties and cities applying for financial aid for planning, such funds as may be available pursuant to legislative appropriations or from any federal grants for such purpose.</w:t>
      </w:r>
    </w:p>
    <w:p>
      <w:pPr>
        <w:spacing w:before="0" w:after="0" w:line="408" w:lineRule="exact"/>
        <w:ind w:left="0" w:right="0" w:firstLine="576"/>
        <w:jc w:val="left"/>
      </w:pPr>
      <w:r>
        <w:rPr/>
        <w:t xml:space="preserve">The department must determine priorities and allocate available funds among the counties and cities applying for aid according to criteria established by rules of the department, considering population, urban development, environmental effects of waste disposal, existing waste handling practices, and the local justification of their proposed expenditures.</w:t>
      </w:r>
    </w:p>
    <w:p>
      <w:pPr>
        <w:spacing w:before="0" w:after="0" w:line="408" w:lineRule="exact"/>
        <w:ind w:left="0" w:right="0" w:firstLine="576"/>
        <w:jc w:val="left"/>
      </w:pPr>
      <w:r>
        <w:rPr/>
        <w:t xml:space="preserve">(3) The department may use funds under section 8 of this act to disburse to local governments in developing solid waste deconstruction and disposal of abandoned recreational vehicle projects.</w:t>
      </w:r>
    </w:p>
    <w:p>
      <w:pPr>
        <w:spacing w:before="0" w:after="0" w:line="408" w:lineRule="exact"/>
        <w:ind w:left="0" w:right="0" w:firstLine="576"/>
        <w:jc w:val="left"/>
      </w:pPr>
      <w:r>
        <w:rPr/>
        <w:t xml:space="preserve">(4) A local government may enter into a contract with a private company or individual or nonprofit company or organization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(1)(a) The abandoned recreational vehicle deconstruction and disposal account is created in the state treasury. All receipts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act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(b) Moneys in the account may be spent only after appropriation. Expenditures from the account may be used only by the department for developing and administering the abandoned recreational vehicle deconstruction and disposal program created in section 7 of this act and to reimburse local governments and registered tow truck operators for up to one hundred percent of the total reasonable and auditable administrative costs for removal, recovery, towing, impound and storage, transportation, disposal, and environmental damage of abandoned recreational vehicles under section 7(3) of this act when the last registered owner is either unknown after a reasonable search effort or insolvent. Reimbursement may not be made unless the department determines that the local government has made reasonable efforts to identify and locate the last registered owner of the abandoned recreational vehicle. Compliance with RCW 46.55.100 is considered a reasonable effort to locate the last registered owner of the abandoned recreational vehicle.</w:t>
      </w:r>
    </w:p>
    <w:p>
      <w:pPr>
        <w:spacing w:before="0" w:after="0" w:line="408" w:lineRule="exact"/>
        <w:ind w:left="0" w:right="0" w:firstLine="576"/>
        <w:jc w:val="left"/>
      </w:pPr>
      <w:r>
        <w:rPr/>
        <w:t xml:space="preserve">(c) Funds in the account resulting from transfers from the general fund must be used to reimburse one hundred percent of costs.</w:t>
      </w:r>
    </w:p>
    <w:p>
      <w:pPr>
        <w:spacing w:before="0" w:after="0" w:line="408" w:lineRule="exact"/>
        <w:ind w:left="0" w:right="0" w:firstLine="576"/>
        <w:jc w:val="left"/>
      </w:pPr>
      <w:r>
        <w:rPr/>
        <w:t xml:space="preserve">(d) In each fiscal biennium, up to ten percent of the expenditures from the account may be used for administrative expenses of the department in implementing this act.</w:t>
      </w:r>
    </w:p>
    <w:p>
      <w:pPr>
        <w:spacing w:before="0" w:after="0" w:line="408" w:lineRule="exact"/>
        <w:ind w:left="0" w:right="0" w:firstLine="576"/>
        <w:jc w:val="left"/>
      </w:pPr>
      <w:r>
        <w:rPr/>
        <w:t xml:space="preserve">(2) Priority for use of this account is for the deconstruction and disposal of recreational vehicles that are impounded by registered tow truck operators then abandoned by their last registered owners.</w:t>
      </w:r>
    </w:p>
    <w:p>
      <w:pPr>
        <w:spacing w:before="0" w:after="0" w:line="408" w:lineRule="exact"/>
        <w:ind w:left="0" w:right="0" w:firstLine="576"/>
        <w:jc w:val="left"/>
      </w:pPr>
      <w:r>
        <w:rPr/>
        <w:t xml:space="preserve">(3) The department must keep all local governments apprised of the balance of the account and the funds available for reimbursement. The guidelines developed by the department must also be made available to the other local governments. This subsection (3) must be satisfied by utilizing the least costly method, including maintaining the information on the department's web site, or any other cost-effective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065</w:t>
      </w:r>
      <w:r>
        <w:rPr/>
        <w:t xml:space="preserve"> and 2004 c 101 s 2 are each amended to read as follows:</w:t>
      </w:r>
    </w:p>
    <w:p>
      <w:pPr>
        <w:spacing w:before="0" w:after="0" w:line="408" w:lineRule="exact"/>
        <w:ind w:left="0" w:right="0" w:firstLine="576"/>
        <w:jc w:val="left"/>
      </w:pPr>
      <w:r>
        <w:rPr/>
        <w:t xml:space="preserve">(1) The department shall, as part of the minimum functional standards for solid waste handling required under RCW 70.95.060, develop specific criteria for the types of solid wastes that are allowed to be received by inert waste landfills that seek to continue operation after February 10, 2003.</w:t>
      </w:r>
    </w:p>
    <w:p>
      <w:pPr>
        <w:spacing w:before="0" w:after="0" w:line="408" w:lineRule="exact"/>
        <w:ind w:left="0" w:right="0" w:firstLine="576"/>
        <w:jc w:val="left"/>
      </w:pPr>
      <w:r>
        <w:rPr/>
        <w:t xml:space="preserve">(2) The criteria for inert waste developed under this section must, at a minimum, contain a list of substances that an inert waste landfill located in a county with fewer than forty-five thousand residents is permitted to receive if it was operational before February 10, 2003, and is located at a site with a five-year annual rainfall of twenty-five inches or less. The substances permitted for the inert waste landfills satisfying the criteria listed in this subsection must include the following types of solid waste if the waste has not been tainted, through exposure from chemical, physical, biological, or radiological substances, such that it presents a threat to human health or the environment greater than that inherent to the material:</w:t>
      </w:r>
    </w:p>
    <w:p>
      <w:pPr>
        <w:spacing w:before="0" w:after="0" w:line="408" w:lineRule="exact"/>
        <w:ind w:left="0" w:right="0" w:firstLine="576"/>
        <w:jc w:val="left"/>
      </w:pPr>
      <w:r>
        <w:rPr/>
        <w:t xml:space="preserve">(a) Cured concrete, including any embedded steel reinforcing and wood;</w:t>
      </w:r>
    </w:p>
    <w:p>
      <w:pPr>
        <w:spacing w:before="0" w:after="0" w:line="408" w:lineRule="exact"/>
        <w:ind w:left="0" w:right="0" w:firstLine="576"/>
        <w:jc w:val="left"/>
      </w:pPr>
      <w:r>
        <w:rPr/>
        <w:t xml:space="preserve">(b) Asphaltic materials, including road construction asphalt;</w:t>
      </w:r>
    </w:p>
    <w:p>
      <w:pPr>
        <w:spacing w:before="0" w:after="0" w:line="408" w:lineRule="exact"/>
        <w:ind w:left="0" w:right="0" w:firstLine="576"/>
        <w:jc w:val="left"/>
      </w:pPr>
      <w:r>
        <w:rPr/>
        <w:t xml:space="preserve">(c) Brick and masonry;</w:t>
      </w:r>
    </w:p>
    <w:p>
      <w:pPr>
        <w:spacing w:before="0" w:after="0" w:line="408" w:lineRule="exact"/>
        <w:ind w:left="0" w:right="0" w:firstLine="576"/>
        <w:jc w:val="left"/>
      </w:pPr>
      <w:r>
        <w:rPr/>
        <w:t xml:space="preserve">(d) Ceramic materials produced from fired clay or porcelain;</w:t>
      </w:r>
    </w:p>
    <w:p>
      <w:pPr>
        <w:spacing w:before="0" w:after="0" w:line="408" w:lineRule="exact"/>
        <w:ind w:left="0" w:right="0" w:firstLine="576"/>
        <w:jc w:val="left"/>
      </w:pPr>
      <w:r>
        <w:rPr/>
        <w:t xml:space="preserve">(e) Glass;</w:t>
      </w:r>
    </w:p>
    <w:p>
      <w:pPr>
        <w:spacing w:before="0" w:after="0" w:line="408" w:lineRule="exact"/>
        <w:ind w:left="0" w:right="0" w:firstLine="576"/>
        <w:jc w:val="left"/>
      </w:pPr>
      <w:r>
        <w:rPr/>
        <w:t xml:space="preserve">(f) Stainless steel and aluminum; </w:t>
      </w:r>
      <w:r>
        <w:t>((</w:t>
      </w:r>
      <w:r>
        <w:rPr>
          <w:strike/>
        </w:rPr>
        <w:t xml:space="preserve">and</w:t>
      </w:r>
      <w:r>
        <w:t>))</w:t>
      </w:r>
    </w:p>
    <w:p>
      <w:pPr>
        <w:spacing w:before="0" w:after="0" w:line="408" w:lineRule="exact"/>
        <w:ind w:left="0" w:right="0" w:firstLine="576"/>
        <w:jc w:val="left"/>
      </w:pPr>
      <w:r>
        <w:rPr/>
        <w:t xml:space="preserve">(g) </w:t>
      </w:r>
      <w:r>
        <w:rPr>
          <w:u w:val="single"/>
        </w:rPr>
        <w:t xml:space="preserve">Deconstructed recreational vehicles; and</w:t>
      </w:r>
    </w:p>
    <w:p>
      <w:pPr>
        <w:spacing w:before="0" w:after="0" w:line="408" w:lineRule="exact"/>
        <w:ind w:left="0" w:right="0" w:firstLine="576"/>
        <w:jc w:val="left"/>
      </w:pPr>
      <w:r>
        <w:rPr>
          <w:u w:val="single"/>
        </w:rPr>
        <w:t xml:space="preserve">(h)</w:t>
      </w:r>
      <w:r>
        <w:rPr/>
        <w:t xml:space="preserve"> Other materials as defined in chapter 173-350 WAC.</w:t>
      </w:r>
    </w:p>
    <w:p>
      <w:pPr>
        <w:spacing w:before="0" w:after="0" w:line="408" w:lineRule="exact"/>
        <w:ind w:left="0" w:right="0" w:firstLine="576"/>
        <w:jc w:val="left"/>
      </w:pPr>
      <w:r>
        <w:rPr/>
        <w:t xml:space="preserve">(3) The department shall work with the owner or operators of landfills that do not meet the minimum functional standards for inert waste landfills to explore and implement appropriate means of transition into a limited purpose landfill that is able to accept additional materials as specified in WAC 173-350-400.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deconstruction and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 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ab21a9a63b5a47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f16d3d8074899" /><Relationship Type="http://schemas.openxmlformats.org/officeDocument/2006/relationships/footer" Target="/word/footer.xml" Id="Rab21a9a63b5a47b2" /></Relationships>
</file>