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c0897bb2ae4f5c" /></Relationships>
</file>

<file path=word/document.xml><?xml version="1.0" encoding="utf-8"?>
<w:document xmlns:w="http://schemas.openxmlformats.org/wordprocessingml/2006/main">
  <w:body>
    <w:p>
      <w:r>
        <w:t>S-1278.1</w:t>
      </w:r>
    </w:p>
    <w:p>
      <w:pPr>
        <w:jc w:val="center"/>
      </w:pPr>
      <w:r>
        <w:t>_______________________________________________</w:t>
      </w:r>
    </w:p>
    <w:p/>
    <w:p>
      <w:pPr>
        <w:jc w:val="center"/>
      </w:pPr>
      <w:r>
        <w:rPr>
          <w:b/>
        </w:rPr>
        <w:t>SENATE BILL 5748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Chase, and Saldaña</w:t>
      </w:r>
    </w:p>
    <w:p/>
    <w:p>
      <w:r>
        <w:rPr>
          <w:t xml:space="preserve">Read first time 02/07/17.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Washington state government contracting provisions into compliance with federal law as it relates to small works bonding requirements; and amending RCW 39.08.010.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w:t>
      </w:r>
      <w:r>
        <w:t>((</w:t>
      </w:r>
      <w:r>
        <w:rPr>
          <w:strike/>
        </w:rPr>
        <w:t xml:space="preserve">thirty-five</w:t>
      </w:r>
      <w:r>
        <w:t>))</w:t>
      </w:r>
      <w:r>
        <w:rPr/>
        <w:t xml:space="preserve"> </w:t>
      </w:r>
      <w:r>
        <w:rPr>
          <w:u w:val="single"/>
        </w:rPr>
        <w:t xml:space="preserve">one hundred fifty</w:t>
      </w:r>
      <w:r>
        <w:rPr/>
        <w:t xml:space="preserve"> thousand dollars or less, at the option of the contractor the respective public entity may, in lieu of the bond, retain </w:t>
      </w:r>
      <w:r>
        <w:t>((</w:t>
      </w:r>
      <w:r>
        <w:rPr>
          <w:strike/>
        </w:rPr>
        <w:t xml:space="preserve">fifty</w:t>
      </w:r>
      <w:r>
        <w:t>))</w:t>
      </w:r>
      <w:r>
        <w:rPr/>
        <w:t xml:space="preserve"> </w:t>
      </w:r>
      <w:r>
        <w:rPr>
          <w:u w:val="single"/>
        </w:rPr>
        <w:t xml:space="preserve">twenty-five</w:t>
      </w:r>
      <w:r>
        <w:rPr/>
        <w:t xml:space="preserve">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w:t>
      </w:r>
    </w:p>
    <w:p>
      <w:pPr>
        <w:spacing w:before="0" w:after="0" w:line="408" w:lineRule="exact"/>
        <w:ind w:left="0" w:right="0" w:firstLine="576"/>
        <w:jc w:val="left"/>
      </w:pPr>
      <w:r>
        <w:rPr/>
        <w:t xml:space="preserve">(4) For contracts of one hundred </w:t>
      </w:r>
      <w:r>
        <w:rPr>
          <w:u w:val="single"/>
        </w:rPr>
        <w:t xml:space="preserve">fifty</w:t>
      </w:r>
      <w:r>
        <w:rPr/>
        <w:t xml:space="preserve">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
      <w:pPr>
        <w:jc w:val="center"/>
      </w:pPr>
      <w:r>
        <w:rPr>
          <w:b/>
        </w:rPr>
        <w:t>--- END ---</w:t>
      </w:r>
    </w:p>
    <w:sectPr>
      <w:pgNumType w:start="1"/>
      <w:footerReference xmlns:r="http://schemas.openxmlformats.org/officeDocument/2006/relationships" r:id="R98a4ca69f78543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d6d0d40b1482d" /><Relationship Type="http://schemas.openxmlformats.org/officeDocument/2006/relationships/footer" Target="/word/footer.xml" Id="R98a4ca69f785430e" /></Relationships>
</file>