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3acf3f66841c8" /></Relationships>
</file>

<file path=word/document.xml><?xml version="1.0" encoding="utf-8"?>
<w:document xmlns:w="http://schemas.openxmlformats.org/wordprocessingml/2006/main">
  <w:body>
    <w:p>
      <w:r>
        <w:t>S-1553.1</w:t>
      </w:r>
    </w:p>
    <w:p>
      <w:pPr>
        <w:jc w:val="center"/>
      </w:pPr>
      <w:r>
        <w:t>_______________________________________________</w:t>
      </w:r>
    </w:p>
    <w:p/>
    <w:p>
      <w:pPr>
        <w:jc w:val="center"/>
      </w:pPr>
      <w:r>
        <w:rPr>
          <w:b/>
        </w:rPr>
        <w:t>SENATE BILL 5830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violence crime fees; reenacting and amending RCW 43.84.092; adding a new chapter to Title 82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state has a substantial interest in protecting and preserving the quality of life for its residents and communities against the corrosive harm of sexual violence. The legislature recognizes local governments have an important role in addressing community and societal risk factors affecting the incidence of sexual assault as well as other forms of sexual violence.</w:t>
      </w:r>
    </w:p>
    <w:p>
      <w:pPr>
        <w:spacing w:before="0" w:after="0" w:line="408" w:lineRule="exact"/>
        <w:ind w:left="0" w:right="0" w:firstLine="576"/>
        <w:jc w:val="left"/>
      </w:pPr>
      <w:r>
        <w:rPr/>
        <w:t xml:space="preserve">(2) The legislature recognizes that a small number of individuals commit a substantial amount of crimes of sexual violence and that unsubmitted sexual assault kits unjustifiably allow these individuals to escape the reaches of law enforcement. The legislature finds that addressing sexual violence requires targeting individuals who have been convicted of crimes of sexual violence as well as targeting criminal behavior that has a substantial nexus to the commission of sexual offenses.</w:t>
      </w:r>
    </w:p>
    <w:p>
      <w:pPr>
        <w:spacing w:before="0" w:after="0" w:line="408" w:lineRule="exact"/>
        <w:ind w:left="0" w:right="0" w:firstLine="576"/>
        <w:jc w:val="left"/>
      </w:pPr>
      <w:r>
        <w:rPr/>
        <w:t xml:space="preserve">(3) The legislature finds that it has an unwavering interest in protecting our population from sexual violence, in finding justice for victims of sexual violence, and in targeting criminal behavior with a substantial nexus to the commission of sexual violence. The legislature finds that Washington's government bodies must address community and societal risk factors for sexual violence by adopting protective measures that lessen the perpetration of sexual violence.</w:t>
      </w:r>
    </w:p>
    <w:p>
      <w:pPr>
        <w:spacing w:before="0" w:after="0" w:line="408" w:lineRule="exact"/>
        <w:ind w:left="0" w:right="0" w:firstLine="576"/>
        <w:jc w:val="left"/>
      </w:pPr>
      <w:r>
        <w:rPr/>
        <w:t xml:space="preserve">(4) The legislature recognizes that key community and societal risk factors contribute to continued perpetration of sexual assault. These factors include: Lack of institutional support from police and the judicial system, general tolerance of sexual violence within the community, weak community sanctions against sexual violence perpetrators, societal norms that support sexual violence and sexual entitlement, norms that maintain women's inferiority weak laws and policies related to sexual violence and gender equity, and high levels of crime and other forms of violence.</w:t>
      </w:r>
    </w:p>
    <w:p>
      <w:pPr>
        <w:spacing w:before="0" w:after="0" w:line="408" w:lineRule="exact"/>
        <w:ind w:left="0" w:right="0" w:firstLine="576"/>
        <w:jc w:val="left"/>
      </w:pPr>
      <w:r>
        <w:rPr/>
        <w:t xml:space="preserve">(5) The legislature recognizes that individual and relationship risk factors for perpetration of sexual assault include: Alcohol and drug use, delinquency, empathetic deficits, general aggressiveness and acceptance of violence, early sexual initiation, preference for impersonal sex and sexual risk taking, hostility towards women, hypermasculinity, prior sexual victimization or perpetration, family environment characterized by physical violence and conflict, and involvement in a violent or abusive intimate relationship.</w:t>
      </w:r>
    </w:p>
    <w:p>
      <w:pPr>
        <w:spacing w:before="0" w:after="0" w:line="408" w:lineRule="exact"/>
        <w:ind w:left="0" w:right="0" w:firstLine="576"/>
        <w:jc w:val="left"/>
      </w:pPr>
      <w:r>
        <w:rPr/>
        <w:t xml:space="preserve">(6) The legislature finds that the office of crime victims advocacy plays a critical role in providing support to victims of sexual violence. The legislature finds that, in Washington, more than forty thousand people are arrested each year for sexual violence or crimes with a substantial nexus to the commission of sexual offenses. These crimes include rape, sexual assault, human trafficking, assault, domestic violence, patronizing a prostitute, promoting prostitution, violating no-contact orders, as well as any of the previous committed while under the influence of drugs or alcohol.</w:t>
      </w:r>
    </w:p>
    <w:p>
      <w:pPr>
        <w:spacing w:before="0" w:after="0" w:line="408" w:lineRule="exact"/>
        <w:ind w:left="0" w:right="0" w:firstLine="576"/>
        <w:jc w:val="left"/>
      </w:pPr>
      <w:r>
        <w:rPr/>
        <w:t xml:space="preserve">(7) The legislature finds that the adoption of a statewide fee on individuals who have committed a sexually violent crime, as well as those convicted of crimes with a substantial nexus to the commission of sexual offenses, can provide further assistance to the victims of sexual violence directly and indirectly resulting from their conduct. The legislature finds that it can provide assistance to victims of sexual violence by providing needed assistance to train officials in serving victims and identifying previously unidentified perpetrators of sexual violence.</w:t>
      </w:r>
    </w:p>
    <w:p>
      <w:pPr>
        <w:spacing w:before="0" w:after="0" w:line="408" w:lineRule="exact"/>
        <w:ind w:left="0" w:right="0" w:firstLine="576"/>
        <w:jc w:val="left"/>
      </w:pPr>
      <w:r>
        <w:rPr/>
        <w:t xml:space="preserve">(8) The legislature hereby establishes the sexual violence crime fee to fund policies and programming for investigating sex crimes and supporting trafficking and sex crime victims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commission of a crime of sexual violence or crimes with a substantial nexus to sexual offenses. The fee under this section must be paid by the individual charged with committing sexually violent crimes or criminal offenses with a substantial nexus to sexual violence.</w:t>
      </w:r>
    </w:p>
    <w:p>
      <w:pPr>
        <w:spacing w:before="0" w:after="0" w:line="408" w:lineRule="exact"/>
        <w:ind w:left="0" w:right="0" w:firstLine="576"/>
        <w:jc w:val="left"/>
      </w:pPr>
      <w:r>
        <w:rPr/>
        <w:t xml:space="preserve">(2) There is levied the following classes of fees:</w:t>
      </w:r>
    </w:p>
    <w:p>
      <w:pPr>
        <w:spacing w:before="0" w:after="0" w:line="408" w:lineRule="exact"/>
        <w:ind w:left="0" w:right="0" w:firstLine="576"/>
        <w:jc w:val="left"/>
      </w:pPr>
      <w:r>
        <w:rPr/>
        <w:t xml:space="preserve">(a) Class A fees include charges under chapters 9A.44, 9A.40, and 9.68A RCW. The fee under this subsection (2) is separate and apart from any restitution ordered to the victim and the state in processing the case.</w:t>
      </w:r>
    </w:p>
    <w:p>
      <w:pPr>
        <w:spacing w:before="0" w:after="0" w:line="408" w:lineRule="exact"/>
        <w:ind w:left="0" w:right="0" w:firstLine="576"/>
        <w:jc w:val="left"/>
      </w:pPr>
      <w:r>
        <w:rPr/>
        <w:t xml:space="preserve">(b) Class B fees include charges under RCW 9A.88.060, 9A.88.070, 9A.88.080, and 9A.88.090, and are in addition to fees authorized under RCW 9A.88.120 and 9A.88.140.</w:t>
      </w:r>
    </w:p>
    <w:p>
      <w:pPr>
        <w:spacing w:before="0" w:after="0" w:line="408" w:lineRule="exact"/>
        <w:ind w:left="0" w:right="0" w:firstLine="576"/>
        <w:jc w:val="left"/>
      </w:pPr>
      <w:r>
        <w:rPr/>
        <w:t xml:space="preserve">(c) Class C fees include charges under RCW 26.50.110 for a violation of a no-contact order, domestic violence charges under RCW 26.50.020, and assault charges under chapter 9A.36 RCW.</w:t>
      </w:r>
    </w:p>
    <w:p>
      <w:pPr>
        <w:spacing w:before="0" w:after="0" w:line="408" w:lineRule="exact"/>
        <w:ind w:left="0" w:right="0" w:firstLine="576"/>
        <w:jc w:val="left"/>
      </w:pPr>
      <w:r>
        <w:rPr/>
        <w:t xml:space="preserve">(d) Class D fees are for any charge of domestic violence assault.</w:t>
      </w:r>
    </w:p>
    <w:p>
      <w:pPr>
        <w:spacing w:before="0" w:after="0" w:line="408" w:lineRule="exact"/>
        <w:ind w:left="0" w:right="0" w:firstLine="576"/>
        <w:jc w:val="left"/>
      </w:pPr>
      <w:r>
        <w:rPr/>
        <w:t xml:space="preserve">(e) Class E fees are in addition to other fees charged under class A, class B, class C, and class D fees in this subsection (2) if alcohol or drugs are a factor in the commission of the aforementioned crimes under RCW 46.61.5055.</w:t>
      </w:r>
    </w:p>
    <w:p>
      <w:pPr>
        <w:spacing w:before="0" w:after="0" w:line="408" w:lineRule="exact"/>
        <w:ind w:left="0" w:right="0" w:firstLine="576"/>
        <w:jc w:val="left"/>
      </w:pPr>
      <w:r>
        <w:rPr/>
        <w:t xml:space="preserve">(3) The fees enacted on classes of offenses under subsection (2) of this section are as follows:</w:t>
      </w:r>
    </w:p>
    <w:p>
      <w:pPr>
        <w:spacing w:before="0" w:after="0" w:line="408" w:lineRule="exact"/>
        <w:ind w:left="0" w:right="0" w:firstLine="576"/>
        <w:jc w:val="left"/>
      </w:pPr>
      <w:r>
        <w:rPr/>
        <w:t xml:space="preserve">(a) Class A fees may not be less than one thousand dollars.</w:t>
      </w:r>
    </w:p>
    <w:p>
      <w:pPr>
        <w:spacing w:before="0" w:after="0" w:line="408" w:lineRule="exact"/>
        <w:ind w:left="0" w:right="0" w:firstLine="576"/>
        <w:jc w:val="left"/>
      </w:pPr>
      <w:r>
        <w:rPr/>
        <w:t xml:space="preserve">(b) Class B fees may not be less than five hundred dollars.</w:t>
      </w:r>
    </w:p>
    <w:p>
      <w:pPr>
        <w:spacing w:before="0" w:after="0" w:line="408" w:lineRule="exact"/>
        <w:ind w:left="0" w:right="0" w:firstLine="576"/>
        <w:jc w:val="left"/>
      </w:pPr>
      <w:r>
        <w:rPr/>
        <w:t xml:space="preserve">(c) Class C fees may not be less than one hundred dollars.</w:t>
      </w:r>
    </w:p>
    <w:p>
      <w:pPr>
        <w:spacing w:before="0" w:after="0" w:line="408" w:lineRule="exact"/>
        <w:ind w:left="0" w:right="0" w:firstLine="576"/>
        <w:jc w:val="left"/>
      </w:pPr>
      <w:r>
        <w:rPr/>
        <w:t xml:space="preserve">(d) Class D fees may not be less than one hundred fifty dollars.</w:t>
      </w:r>
    </w:p>
    <w:p>
      <w:pPr>
        <w:spacing w:before="0" w:after="0" w:line="408" w:lineRule="exact"/>
        <w:ind w:left="0" w:right="0" w:firstLine="576"/>
        <w:jc w:val="left"/>
      </w:pPr>
      <w:r>
        <w:rPr/>
        <w:t xml:space="preserve">(e) Class E fees may not be less than fifty dollars.</w:t>
      </w:r>
    </w:p>
    <w:p>
      <w:pPr>
        <w:spacing w:before="0" w:after="0" w:line="408" w:lineRule="exact"/>
        <w:ind w:left="0" w:right="0" w:firstLine="576"/>
        <w:jc w:val="left"/>
      </w:pPr>
      <w:r>
        <w:rPr/>
        <w:t xml:space="preserve">(4) Where an individual is charged under subsection (2)(a) of this section and an unsubmitted sexual assault kit matches the convicted individual's genetic profile, the individual is liable for the fees for each individual charge under subsection (2) of this section in addition to an enhanced serial sexual assault fee of two thousand five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fees required to be collected by the offender under section 2 of this act are deemed to be held in trust by the court until paid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crime fee account is created in the state treasury. All revenues from the sexually oriented crime fees established in section 2 of this act must be deposited into the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Washington sexually oriented crime fee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99a227e3e28049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e1388b11e4f91" /><Relationship Type="http://schemas.openxmlformats.org/officeDocument/2006/relationships/footer" Target="/word/footer.xml" Id="R99a227e3e280491e" /></Relationships>
</file>