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e906e16be4f6b" /></Relationships>
</file>

<file path=word/document.xml><?xml version="1.0" encoding="utf-8"?>
<w:document xmlns:w="http://schemas.openxmlformats.org/wordprocessingml/2006/main">
  <w:body>
    <w:p>
      <w:r>
        <w:t>S-1820.1</w:t>
      </w:r>
    </w:p>
    <w:p>
      <w:pPr>
        <w:jc w:val="center"/>
      </w:pPr>
      <w:r>
        <w:t>_______________________________________________</w:t>
      </w:r>
    </w:p>
    <w:p/>
    <w:p>
      <w:pPr>
        <w:jc w:val="center"/>
      </w:pPr>
      <w:r>
        <w:rPr>
          <w:b/>
        </w:rPr>
        <w:t>SUBSTITUTE SENATE BILL 5837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Saldaña, Hawkins, Hobbs, Hasegawa, Frockt, and Kuderer)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 occupancy vehicle lane access to blood-collecting or distributing establishment vehicles;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is encouraged to engage in a transparent, public process to reexamine its rules surrounding access to high occupancy vehicle lanes. This process must consider the benefits and impacts of allowing vehicles that deliver or collect blood, tissue, or blood components for a blood-collecting or distributing establishment regulated under chapter 70.335 RCW into the high occupancy vehicle lanes.</w:t>
      </w:r>
    </w:p>
    <w:p>
      <w:pPr>
        <w:spacing w:before="0" w:after="0" w:line="408" w:lineRule="exact"/>
        <w:ind w:left="0" w:right="0" w:firstLine="576"/>
        <w:jc w:val="left"/>
      </w:pPr>
      <w:r>
        <w:rPr/>
        <w:t xml:space="preserve">(2) By January 1, 2019, the department of transportation shall report progress of the public rule reexamination process in subsection (1) of this section to the transportation committees of the legislature with sufficient time for review before the conclusion of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2019.</w:t>
      </w:r>
    </w:p>
    <w:p/>
    <w:p>
      <w:pPr>
        <w:jc w:val="center"/>
      </w:pPr>
      <w:r>
        <w:rPr>
          <w:b/>
        </w:rPr>
        <w:t>--- END ---</w:t>
      </w:r>
    </w:p>
    <w:sectPr>
      <w:pgNumType w:start="1"/>
      <w:footerReference xmlns:r="http://schemas.openxmlformats.org/officeDocument/2006/relationships" r:id="R7580fc747d864f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9ae4f982934b0b" /><Relationship Type="http://schemas.openxmlformats.org/officeDocument/2006/relationships/footer" Target="/word/footer.xml" Id="R7580fc747d864f7f" /></Relationships>
</file>