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28399b7e4148fc" /></Relationships>
</file>

<file path=word/document.xml><?xml version="1.0" encoding="utf-8"?>
<w:document xmlns:w="http://schemas.openxmlformats.org/wordprocessingml/2006/main">
  <w:body>
    <w:p>
      <w:r>
        <w:t>S-1617.1</w:t>
      </w:r>
    </w:p>
    <w:p>
      <w:pPr>
        <w:jc w:val="center"/>
      </w:pPr>
      <w:r>
        <w:t>_______________________________________________</w:t>
      </w:r>
    </w:p>
    <w:p/>
    <w:p>
      <w:pPr>
        <w:jc w:val="center"/>
      </w:pPr>
      <w:r>
        <w:rPr>
          <w:b/>
        </w:rPr>
        <w:t>SENATE BILL 5843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Schoesler and Nelson</w:t>
      </w:r>
    </w:p>
    <w:p/>
    <w:p>
      <w:r>
        <w:rPr>
          <w:t xml:space="preserve">Read first time 02/17/17.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waivers of legislative mailing restrictions in response to manifest error; amending RCW 42.52.185;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2011 c 60 s 31 are each amended to read as follows:</w:t>
      </w:r>
    </w:p>
    <w:p>
      <w:pPr>
        <w:spacing w:before="0" w:after="0" w:line="408" w:lineRule="exact"/>
        <w:ind w:left="0" w:right="0" w:firstLine="576"/>
        <w:jc w:val="left"/>
      </w:pPr>
      <w:r>
        <w:rPr/>
        <w:t xml:space="preserve">(1) During the twelve-month period beginning on December 1st of the year before a general election for a state legislator's election to office and continuing through November 30th immediately after the general election, the legislator may not mail, either by regular mail or </w:t>
      </w:r>
      <w:r>
        <w:t>((</w:t>
      </w:r>
      <w:r>
        <w:rPr>
          <w:strike/>
        </w:rPr>
        <w:t xml:space="preserve">electronic mail</w:t>
      </w:r>
      <w:r>
        <w:t>))</w:t>
      </w:r>
      <w:r>
        <w:rPr/>
        <w:t xml:space="preserve"> </w:t>
      </w:r>
      <w:r>
        <w:rPr>
          <w:u w:val="single"/>
        </w:rPr>
        <w:t xml:space="preserve">email</w:t>
      </w:r>
      <w:r>
        <w:rPr/>
        <w:t xml:space="preserve">, to a constituent at public expense a letter, newsletter, brochure, or other piece of literature, except as follows:</w:t>
      </w:r>
    </w:p>
    <w:p>
      <w:pPr>
        <w:spacing w:before="0" w:after="0" w:line="408" w:lineRule="exact"/>
        <w:ind w:left="0" w:right="0" w:firstLine="576"/>
        <w:jc w:val="left"/>
      </w:pPr>
      <w:r>
        <w:rPr/>
        <w:t xml:space="preserve">(a)</w:t>
      </w:r>
      <w:r>
        <w:rPr>
          <w:u w:val="single"/>
        </w:rPr>
        <w:t xml:space="preserve">(i)</w:t>
      </w:r>
      <w:r>
        <w:rPr/>
        <w:t xml:space="preserve"> The legislator may mail two mailings of newsletters to constituents. All newsletters within each mailing of newsletters must be identical as to their content but not as to the constituent name or address. One such mailing may be mailed no later than thirty days after the start of a regular legislative session, except that a legislator appointed during a regular legislative session to fill a vacant seat may have up to thirty days from the date of appointment to send out the first mailing. The other mailing may be mailed no later than sixty days after the end of a regular legislative session.</w:t>
      </w:r>
    </w:p>
    <w:p>
      <w:pPr>
        <w:spacing w:before="0" w:after="0" w:line="408" w:lineRule="exact"/>
        <w:ind w:left="0" w:right="0" w:firstLine="576"/>
        <w:jc w:val="left"/>
      </w:pPr>
      <w:r>
        <w:rPr>
          <w:u w:val="single"/>
        </w:rPr>
        <w:t xml:space="preserve">(ii) In individual cases of extreme hardship due to manifest error of no fault of the legislator, the senate committee on facilities and operations or the executive rules committee of the house of representatives may grant a waiver on the deadline for a legislator's mailings described in (a)(i) of this subsection.</w:t>
      </w:r>
    </w:p>
    <w:p>
      <w:pPr>
        <w:spacing w:before="0" w:after="0" w:line="408" w:lineRule="exact"/>
        <w:ind w:left="0" w:right="0" w:firstLine="576"/>
        <w:jc w:val="left"/>
      </w:pPr>
      <w:r>
        <w:rPr/>
        <w:t xml:space="preserve">(b) The legislator may mail an individual letter to (i) an individual constituent who has contacted the legislator regarding the subject matter of the letter during the legislator's current term of office; (ii) an individual constituent who holds a governmental office with jurisdiction over the subject matter of the letter; or (iii) an individual constituent who has received an award or honor of extraordinary distinction of a type that is sufficiently infrequent to be noteworthy to a reasonable person, including, but not limited to: (A) An international or national award such as the Nobel prize or the Pulitzer prize; (B) a state award such as Washington scholar; (C) an Eagle Scout award; and (D) a Medal of Honor.</w:t>
      </w:r>
    </w:p>
    <w:p>
      <w:pPr>
        <w:spacing w:before="0" w:after="0" w:line="408" w:lineRule="exact"/>
        <w:ind w:left="0" w:right="0" w:firstLine="576"/>
        <w:jc w:val="left"/>
      </w:pPr>
      <w:r>
        <w:rPr/>
        <w:t xml:space="preserve">(c) In those cases where constituents have specifically indicated that they would like to be contacted to receive regular or periodic updates on legislative matters, legislators may provide such updates by </w:t>
      </w:r>
      <w:r>
        <w:t>((</w:t>
      </w:r>
      <w:r>
        <w:rPr>
          <w:strike/>
        </w:rPr>
        <w:t xml:space="preserve">electronic mail</w:t>
      </w:r>
      <w:r>
        <w:t>))</w:t>
      </w:r>
      <w:r>
        <w:rPr/>
        <w:t xml:space="preserve"> </w:t>
      </w:r>
      <w:r>
        <w:rPr>
          <w:u w:val="single"/>
        </w:rPr>
        <w:t xml:space="preserve">email</w:t>
      </w:r>
      <w:r>
        <w:rPr/>
        <w:t xml:space="preserve"> throughout the legislative session and up until thirty days from the conclusion of a legislative session.</w:t>
      </w:r>
    </w:p>
    <w:p>
      <w:pPr>
        <w:spacing w:before="0" w:after="0" w:line="408" w:lineRule="exact"/>
        <w:ind w:left="0" w:right="0" w:firstLine="576"/>
        <w:jc w:val="left"/>
      </w:pPr>
      <w:r>
        <w:rPr/>
        <w:t xml:space="preserve">(2) For purposes of subsection (1) of this section, "legislator" means a legislator who is a "candidate," as defined by RCW 42.17A.005, for any public office.</w:t>
      </w:r>
    </w:p>
    <w:p>
      <w:pPr>
        <w:spacing w:before="0" w:after="0" w:line="408" w:lineRule="exact"/>
        <w:ind w:left="0" w:right="0" w:firstLine="576"/>
        <w:jc w:val="left"/>
      </w:pPr>
      <w:r>
        <w:rPr/>
        <w:t xml:space="preserve">(3)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(4)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(5) For purposes of this section,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b29ccd8eac40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61b26849c047ed" /><Relationship Type="http://schemas.openxmlformats.org/officeDocument/2006/relationships/footer" Target="/word/footer.xml" Id="R19b29ccd8eac40ab" /></Relationships>
</file>