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5e0e228ab14345" /></Relationships>
</file>

<file path=word/document.xml><?xml version="1.0" encoding="utf-8"?>
<w:document xmlns:w="http://schemas.openxmlformats.org/wordprocessingml/2006/main">
  <w:body>
    <w:p>
      <w:r>
        <w:t>S-4254.2</w:t>
      </w:r>
    </w:p>
    <w:p>
      <w:pPr>
        <w:jc w:val="center"/>
      </w:pPr>
      <w:r>
        <w:t>_______________________________________________</w:t>
      </w:r>
    </w:p>
    <w:p/>
    <w:p>
      <w:pPr>
        <w:jc w:val="center"/>
      </w:pPr>
      <w:r>
        <w:rPr>
          <w:b/>
        </w:rPr>
        <w:t>SUBSTITUTE SENATE BILL 5847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Carlyle, Hasegawa, and Hunt)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review process of the citizen commission for performance measurement of tax preferences; amending RCW 43.136.011, 43.136.045, 43.136.055, 82.32.808, and 43.06.400; adding a new section to chapter 84.55 RCW; and adding a new section to chapter 82.32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011</w:t>
      </w:r>
      <w:r>
        <w:rPr/>
        <w:t xml:space="preserve"> and 2011 c 335 s 1 are each amended to read as follows:</w:t>
      </w:r>
    </w:p>
    <w:p>
      <w:pPr>
        <w:spacing w:before="0" w:after="0" w:line="408" w:lineRule="exact"/>
        <w:ind w:left="0" w:right="0" w:firstLine="576"/>
        <w:jc w:val="left"/>
      </w:pPr>
      <w:r>
        <w:rPr/>
        <w:t xml:space="preserve">The legislature recognizes that tax preferences are enacted to meet objectives which are determined to be in the public interest. However, some tax preferences may not be efficient or equitable tools for the achievement of current public policy objectives. Given the changing nature of the economy and tax structures of other states, the legislature finds that periodic performance audits of tax preferences are needed to determine if their continued existence will serve the public interest. The legislature further finds that tax preferences that are enacted for economic development purposes must demonstrate growth in </w:t>
      </w:r>
      <w:r>
        <w:rPr>
          <w:u w:val="single"/>
        </w:rPr>
        <w:t xml:space="preserve">personal income and</w:t>
      </w:r>
      <w:r>
        <w:rPr/>
        <w:t xml:space="preserve"> full-time family-wage jobs with health and retirement benefits. Given that an opportunity cost exists with each economic choice, it is the intent of the legislature </w:t>
      </w:r>
      <w:r>
        <w:t>((</w:t>
      </w:r>
      <w:r>
        <w:rPr>
          <w:strike/>
        </w:rPr>
        <w:t xml:space="preserve">that the overall impact of</w:t>
      </w:r>
      <w:r>
        <w:t>))</w:t>
      </w:r>
      <w:r>
        <w:rPr/>
        <w:t xml:space="preserve"> </w:t>
      </w:r>
      <w:r>
        <w:rPr>
          <w:u w:val="single"/>
        </w:rPr>
        <w:t xml:space="preserve">to understand how</w:t>
      </w:r>
      <w:r>
        <w:rPr/>
        <w:t xml:space="preserve"> economic development-focused tax preferences benefit the state's economy</w:t>
      </w:r>
      <w:r>
        <w:rPr>
          <w:u w:val="single"/>
        </w:rPr>
        <w:t xml:space="preserve">, both statewide and regions within the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045</w:t>
      </w:r>
      <w:r>
        <w:rPr/>
        <w:t xml:space="preserve"> and 2011 c 335 s 2 are each amended to read as follows:</w:t>
      </w:r>
    </w:p>
    <w:p>
      <w:pPr>
        <w:spacing w:before="0" w:after="0" w:line="408" w:lineRule="exact"/>
        <w:ind w:left="0" w:right="0" w:firstLine="576"/>
        <w:jc w:val="left"/>
      </w:pPr>
      <w:r>
        <w:rPr/>
        <w:t xml:space="preserve">(1) The citizen commission for performance measurement of tax preferences must develop a schedule to accomplish an orderly review of tax preferences at least once every ten years. In determining the schedule, the commission must consider the order the tax preferences were enacted into law, in addition to other factors including but not limited to grouping preferences for review by type of industry, economic sector, or policy area. The commission may elect to include, anywhere in the schedule, a tax preference that has a statutory expiration date. The commission must omit from the schedule tax preferences that are required by constitutional law, sales and use tax exemptions for machinery and equipment for manufacturing, research and development, or testing, the small business credit for the business and occupation tax, sales and use tax exemptions for food and prescription drugs, </w:t>
      </w:r>
      <w:r>
        <w:t>((</w:t>
      </w:r>
      <w:r>
        <w:rPr>
          <w:strike/>
        </w:rPr>
        <w:t xml:space="preserve">property tax relief for retired persons,</w:t>
      </w:r>
      <w:r>
        <w:t>))</w:t>
      </w:r>
      <w:r>
        <w:rPr/>
        <w:t xml:space="preserve"> and property tax valuations based on current use, and may omit any tax preference that the commission determines is a critical part of the structure of the tax system. As an alternative to the process under RCW 43.136.055, the commission may recommend to the joint legislative audit and review committee an expedited review process for any tax preference.</w:t>
      </w:r>
    </w:p>
    <w:p>
      <w:pPr>
        <w:spacing w:before="0" w:after="0" w:line="408" w:lineRule="exact"/>
        <w:ind w:left="0" w:right="0" w:firstLine="576"/>
        <w:jc w:val="left"/>
      </w:pPr>
      <w:r>
        <w:rPr/>
        <w:t xml:space="preserve">(2) The commission must revise the schedule as needed each year, taking into account newly enacted or terminated tax preferences. The commission must deliver the schedule to the joint legislative audit and review committee by September 1st of each year.</w:t>
      </w:r>
    </w:p>
    <w:p>
      <w:pPr>
        <w:spacing w:before="0" w:after="0" w:line="408" w:lineRule="exact"/>
        <w:ind w:left="0" w:right="0" w:firstLine="576"/>
        <w:jc w:val="left"/>
      </w:pPr>
      <w:r>
        <w:rPr/>
        <w:t xml:space="preserve">(3) The commission must provide a process for effective citizen input during its deliberations.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055</w:t>
      </w:r>
      <w:r>
        <w:rPr/>
        <w:t xml:space="preserve"> and 2011 c 335 s 3 are each amended to read as follows:</w:t>
      </w:r>
    </w:p>
    <w:p>
      <w:pPr>
        <w:spacing w:before="0" w:after="0" w:line="408" w:lineRule="exact"/>
        <w:ind w:left="0" w:right="0" w:firstLine="576"/>
        <w:jc w:val="left"/>
      </w:pPr>
      <w:r>
        <w:rPr/>
        <w:t xml:space="preserve">(1) The joint legislative audit and review committee must review tax preferences according to the schedule developed under RCW 43.136.045. The committee must consider, but not be limited to, the following factors in the review as relevant to each particular tax preference:</w:t>
      </w:r>
    </w:p>
    <w:p>
      <w:pPr>
        <w:spacing w:before="0" w:after="0" w:line="408" w:lineRule="exact"/>
        <w:ind w:left="0" w:right="0" w:firstLine="576"/>
        <w:jc w:val="left"/>
      </w:pPr>
      <w:r>
        <w:rPr/>
        <w:t xml:space="preserve">(a) The classes of individuals, types of organizations, or types of industries whose state tax liabilities are directly affected by the tax preference;</w:t>
      </w:r>
    </w:p>
    <w:p>
      <w:pPr>
        <w:spacing w:before="0" w:after="0" w:line="408" w:lineRule="exact"/>
        <w:ind w:left="0" w:right="0" w:firstLine="576"/>
        <w:jc w:val="left"/>
      </w:pPr>
      <w:r>
        <w:rPr/>
        <w:t xml:space="preserve">(b) </w:t>
      </w:r>
      <w:r>
        <w:rPr>
          <w:u w:val="single"/>
        </w:rPr>
        <w:t xml:space="preserve">The overall effective tax rate for the industry groups benefiting from the tax preference. "Effective tax rate" has the same meaning as provided in RCW 43.06.400;</w:t>
      </w:r>
    </w:p>
    <w:p>
      <w:pPr>
        <w:spacing w:before="0" w:after="0" w:line="408" w:lineRule="exact"/>
        <w:ind w:left="0" w:right="0" w:firstLine="576"/>
        <w:jc w:val="left"/>
      </w:pPr>
      <w:r>
        <w:rPr>
          <w:u w:val="single"/>
        </w:rPr>
        <w:t xml:space="preserve">(c)</w:t>
      </w:r>
      <w:r>
        <w:rPr/>
        <w:t xml:space="preserve"> Public policy objectives that might provide a justification for the tax preference, including but not limited to the legislative history, any legislative intent, or the extent to which the tax preference encourages business growth or relocation into this state, promotes growth or retention of high wage jobs, or helps stabilize communities;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Evidence that the existence of the tax preference has contributed to the achievement of any of the public policy objectives;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extent to which continuation of the tax preference might contribute to any of the public policy objectives;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extent to which the tax preference may provide unintended benefits to an individual, organization, or industry other than those the legislature intended;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extent to which terminating the tax preference may have negative effects on the category of taxpayers that currently benefit from the tax preference, and the extent to which resulting higher taxes may have negative effects on employment and the economy;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feasibility of modifying the tax preference to provide for adjustment or recapture of the tax benefits of the tax preference if the objectives are not fulfilled;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Fiscal impacts of the tax preference, including past impacts and expected future impacts if it is continued. For the purposes of this subsection, "fiscal impact" includes an analysis of the general effects of the tax preference on the overall state economy</w:t>
      </w:r>
      <w:r>
        <w:t>((</w:t>
      </w:r>
      <w:r>
        <w:rPr>
          <w:strike/>
        </w:rPr>
        <w:t xml:space="preserve">, including, but not limited to, the effects of the tax preference on the consumption and expenditures of persons and businesses within the state;</w:t>
      </w:r>
    </w:p>
    <w:p>
      <w:pPr>
        <w:spacing w:before="0" w:after="0" w:line="408" w:lineRule="exact"/>
        <w:ind w:left="0" w:right="0" w:firstLine="576"/>
        <w:jc w:val="left"/>
      </w:pPr>
      <w:r>
        <w:rPr>
          <w:strike/>
        </w:rPr>
        <w:t xml:space="preserve">(i) The extent to which termination of the tax preference would affect the distribution of liability for payment of state taxes;</w:t>
      </w:r>
    </w:p>
    <w:p>
      <w:pPr>
        <w:spacing w:before="0" w:after="0" w:line="408" w:lineRule="exact"/>
        <w:ind w:left="0" w:right="0" w:firstLine="576"/>
        <w:jc w:val="left"/>
      </w:pPr>
      <w:r>
        <w:rPr>
          <w:strike/>
        </w:rPr>
        <w:t xml:space="preserve">(j) The economic impact of the tax preference compared to the economic impact of government activities funded by the tax for which the tax preference is taken at the same level of expenditure as the tax preference. For purposes of this subsection the economic impact shall be determined using the Washington input-output model as published by the office of financial management</w:t>
      </w:r>
      <w:r>
        <w:t>))</w:t>
      </w:r>
      <w:r>
        <w:rPr/>
        <w:t xml:space="preserve"> </w:t>
      </w:r>
      <w:r>
        <w:rPr>
          <w:u w:val="single"/>
        </w:rPr>
        <w:t xml:space="preserve">and regions within the state including, but not limited to, the effects of the tax preference on the consumption and expenditures of persons and businesses within the state, employment, and personal income;</w:t>
      </w:r>
    </w:p>
    <w:p>
      <w:pPr>
        <w:spacing w:before="0" w:after="0" w:line="408" w:lineRule="exact"/>
        <w:ind w:left="0" w:right="0" w:firstLine="576"/>
        <w:jc w:val="left"/>
      </w:pPr>
      <w:r>
        <w:rPr>
          <w:u w:val="single"/>
        </w:rPr>
        <w:t xml:space="preserve">(j) The extent to which termination of the tax preference would affect the distribution of liability for payment of state taxes;</w:t>
      </w:r>
    </w:p>
    <w:p>
      <w:pPr>
        <w:spacing w:before="0" w:after="0" w:line="408" w:lineRule="exact"/>
        <w:ind w:left="0" w:right="0" w:firstLine="576"/>
        <w:jc w:val="left"/>
      </w:pPr>
      <w:r>
        <w:rPr>
          <w:u w:val="single"/>
        </w:rPr>
        <w:t xml:space="preserve">(k) Using economic modeling techniques, evaluate potential economic impacts of the tax preference compared to the economic impact of government activities funded at the same level as the preference</w:t>
      </w:r>
      <w:r>
        <w:rPr/>
        <w:t xml:space="preserv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Consideration of similar tax preferences adopted in other states, and potential public policy benefits that might be gained by incorporating corresponding provisions in Washington.</w:t>
      </w:r>
    </w:p>
    <w:p>
      <w:pPr>
        <w:spacing w:before="0" w:after="0" w:line="408" w:lineRule="exact"/>
        <w:ind w:left="0" w:right="0" w:firstLine="576"/>
        <w:jc w:val="left"/>
      </w:pPr>
      <w:r>
        <w:rPr/>
        <w:t xml:space="preserve">(2) For each tax preference, the committee must provide a recommendation as to whether the tax preference should be continued without modification, modified, scheduled for sunset review at a future date, or terminated immediately. The committee may recommend accountability standards for the future review of a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2017 c 135 s 8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 unless the legislation enacting the new tax preference contains an explicit exemption from the requirements of this section.</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w:t>
      </w:r>
      <w:r>
        <w:rPr>
          <w:u w:val="single"/>
        </w:rPr>
        <w:t xml:space="preserve">to increase or maintain personal income, or</w:t>
      </w:r>
      <w:r>
        <w:rPr/>
        <w:t xml:space="preserve">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tax performance report in accordance with RCW 82.32.534.</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w:t>
      </w:r>
      <w:r>
        <w:rPr>
          <w:u w:val="single"/>
        </w:rPr>
        <w:t xml:space="preserve">A taxpayer required to report the amount of a new tax preference as part of the taxpayer's regular tax reporting responsibilities who fails to do so may not claim the tax preference beginning in the following calendar year after it is discovered that the taxpayer erroneously failed to report unless the taxpayer files an amended return.</w:t>
      </w:r>
      <w:r>
        <w:rPr/>
        <w:t xml:space="preserve">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purchase price or value of the exempt product or service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 or report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82.32.534 apply to any tax preference that requires a tax performance report.</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w:t>
      </w:r>
      <w:r>
        <w:rPr>
          <w:u w:val="single"/>
        </w:rPr>
        <w:t xml:space="preserve">Except as otherwise provided in this section, b</w:t>
      </w:r>
      <w:r>
        <w:rPr/>
        <w:t xml:space="preserve">eginning in January </w:t>
      </w:r>
      <w:r>
        <w:t>((</w:t>
      </w:r>
      <w:r>
        <w:rPr>
          <w:strike/>
        </w:rPr>
        <w:t xml:space="preserve">1984</w:t>
      </w:r>
      <w:r>
        <w:t>))</w:t>
      </w:r>
      <w:r>
        <w:rPr/>
        <w:t xml:space="preserve"> </w:t>
      </w:r>
      <w:r>
        <w:rPr>
          <w:u w:val="single"/>
        </w:rPr>
        <w:t xml:space="preserve">2020</w:t>
      </w:r>
      <w:r>
        <w:rPr/>
        <w:t xml:space="preserve">, and in January of every </w:t>
      </w:r>
      <w:r>
        <w:t>((</w:t>
      </w:r>
      <w:r>
        <w:rPr>
          <w:strike/>
        </w:rPr>
        <w:t xml:space="preserve">fourth</w:t>
      </w:r>
      <w:r>
        <w:t>))</w:t>
      </w:r>
      <w:r>
        <w:rPr/>
        <w:t xml:space="preserve"> </w:t>
      </w:r>
      <w:r>
        <w:rPr>
          <w:u w:val="single"/>
        </w:rPr>
        <w:t xml:space="preserve">second</w:t>
      </w:r>
      <w:r>
        <w:rPr/>
        <w:t xml:space="preserve">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 include but not be limited to the following revenue sources:</w:t>
      </w:r>
    </w:p>
    <w:p>
      <w:pPr>
        <w:spacing w:before="0" w:after="0" w:line="408" w:lineRule="exact"/>
        <w:ind w:left="0" w:right="0" w:firstLine="576"/>
        <w:jc w:val="left"/>
      </w:pPr>
      <w:r>
        <w:rPr/>
        <w:t xml:space="preserve">(a) Real and personal property tax exemptions</w:t>
      </w:r>
      <w:r>
        <w:rPr>
          <w:u w:val="single"/>
        </w:rPr>
        <w:t xml:space="preserve">, deferrals, and special valuation programs</w:t>
      </w:r>
      <w:r>
        <w:rPr/>
        <w:t xml:space="preserve">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listing required by this section with the assistance of any other agencies or departments as may be required.</w:t>
      </w:r>
    </w:p>
    <w:p>
      <w:pPr>
        <w:spacing w:before="0" w:after="0" w:line="408" w:lineRule="exact"/>
        <w:ind w:left="0" w:right="0" w:firstLine="576"/>
        <w:jc w:val="left"/>
      </w:pPr>
      <w:r>
        <w:rPr/>
        <w:t xml:space="preserve">(3) The department of revenue must present the listing to the ways and means committees of each house in public hearings.</w:t>
      </w:r>
    </w:p>
    <w:p>
      <w:pPr>
        <w:spacing w:before="0" w:after="0" w:line="408" w:lineRule="exact"/>
        <w:ind w:left="0" w:right="0" w:firstLine="576"/>
        <w:jc w:val="left"/>
      </w:pPr>
      <w:r>
        <w:rPr/>
        <w:t xml:space="preserve">(4) Beginning in January </w:t>
      </w:r>
      <w:r>
        <w:t>((</w:t>
      </w:r>
      <w:r>
        <w:rPr>
          <w:strike/>
        </w:rPr>
        <w:t xml:space="preserve">1984</w:t>
      </w:r>
      <w:r>
        <w:t>))</w:t>
      </w:r>
      <w:r>
        <w:rPr/>
        <w:t xml:space="preserve"> </w:t>
      </w:r>
      <w:r>
        <w:rPr>
          <w:u w:val="single"/>
        </w:rPr>
        <w:t xml:space="preserve">2020</w:t>
      </w:r>
      <w:r>
        <w:rPr/>
        <w:t xml:space="preserve">, and every </w:t>
      </w:r>
      <w:r>
        <w:t>((</w:t>
      </w:r>
      <w:r>
        <w:rPr>
          <w:strike/>
        </w:rPr>
        <w:t xml:space="preserve">four</w:t>
      </w:r>
      <w:r>
        <w:t>))</w:t>
      </w:r>
      <w:r>
        <w:rPr/>
        <w:t xml:space="preserve"> </w:t>
      </w:r>
      <w:r>
        <w:rPr>
          <w:u w:val="single"/>
        </w:rPr>
        <w:t xml:space="preserve">two</w:t>
      </w:r>
      <w:r>
        <w:rPr/>
        <w:t xml:space="preserve"> years thereafter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t xml:space="preserve">(5) </w:t>
      </w:r>
      <w:r>
        <w:t>((</w:t>
      </w:r>
      <w:r>
        <w:rPr>
          <w:strike/>
        </w:rPr>
        <w:t xml:space="preserve">As used in this section, "tax exemption" means an exemption, exclusion, or deduction from the base of a tax; a credit against a tax; a deferral of a tax; or a preferential tax rate.</w:t>
      </w:r>
    </w:p>
    <w:p>
      <w:pPr>
        <w:spacing w:before="0" w:after="0" w:line="408" w:lineRule="exact"/>
        <w:ind w:left="0" w:right="0" w:firstLine="576"/>
        <w:jc w:val="left"/>
      </w:pPr>
      <w:r>
        <w:rPr>
          <w:strike/>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r>
        <w:t>))</w:t>
      </w:r>
      <w:r>
        <w:rPr/>
        <w:t xml:space="preserve"> </w:t>
      </w:r>
      <w:r>
        <w:rPr>
          <w:u w:val="single"/>
        </w:rPr>
        <w:t xml:space="preserve">The January 2020 listing</w:t>
      </w:r>
      <w:r>
        <w:rPr>
          <w:u w:val="single"/>
        </w:rPr>
        <w:t xml:space="preserve"> and every subsequent listing must include the following additional sections:</w:t>
      </w:r>
    </w:p>
    <w:p>
      <w:pPr>
        <w:spacing w:before="0" w:after="0" w:line="408" w:lineRule="exact"/>
        <w:ind w:left="0" w:right="0" w:firstLine="576"/>
        <w:jc w:val="left"/>
      </w:pPr>
      <w:r>
        <w:rPr>
          <w:u w:val="single"/>
        </w:rPr>
        <w:t xml:space="preserve">(a) A section with the estimated effective tax rate for each industry. In addition, an estimate for each industry of employment levels, major taxes paid per employee within each industry, and the industry's average wage;</w:t>
      </w:r>
    </w:p>
    <w:p>
      <w:pPr>
        <w:spacing w:before="0" w:after="0" w:line="408" w:lineRule="exact"/>
        <w:ind w:left="0" w:right="0" w:firstLine="576"/>
        <w:jc w:val="left"/>
      </w:pPr>
      <w:r>
        <w:rPr>
          <w:u w:val="single"/>
        </w:rPr>
        <w:t xml:space="preserve">(b) A section that shows historical and projected state general fund collections as a percentage of state gross domestic product and state personal income;</w:t>
      </w:r>
    </w:p>
    <w:p>
      <w:pPr>
        <w:spacing w:before="0" w:after="0" w:line="408" w:lineRule="exact"/>
        <w:ind w:left="0" w:right="0" w:firstLine="576"/>
        <w:jc w:val="left"/>
      </w:pPr>
      <w:r>
        <w:rPr>
          <w:u w:val="single"/>
        </w:rPr>
        <w:t xml:space="preserve">(c) A section that provides a summary of the transparency and accountability requirements under RCW 82.32.805 and 82.32.808; and</w:t>
      </w:r>
    </w:p>
    <w:p>
      <w:pPr>
        <w:spacing w:before="0" w:after="0" w:line="408" w:lineRule="exact"/>
        <w:ind w:left="0" w:right="0" w:firstLine="576"/>
        <w:jc w:val="left"/>
      </w:pPr>
      <w:r>
        <w:rPr>
          <w:u w:val="single"/>
        </w:rPr>
        <w:t xml:space="preserve">(d) The joint legislative audit and review committee's recommendation for the tax preference, along with the citizen's commission recommendation, for the most recent analysis of the tax preference, if a review has been completed.</w:t>
      </w:r>
    </w:p>
    <w:p>
      <w:pPr>
        <w:spacing w:before="0" w:after="0" w:line="408" w:lineRule="exact"/>
        <w:ind w:left="0" w:right="0" w:firstLine="576"/>
        <w:jc w:val="left"/>
      </w:pPr>
      <w:r>
        <w:rPr>
          <w:u w:val="single"/>
        </w:rPr>
        <w:t xml:space="preserve">(6) The January 2020 listing and every subsequent listing must include a section that provides the present value fiscal impact of selected business tax preferences by decade of enactment.</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"Effective tax rate" means the sum of Washington's major taxes paid within each industry divided by the reported taxable income for each industry.</w:t>
      </w:r>
    </w:p>
    <w:p>
      <w:pPr>
        <w:spacing w:before="0" w:after="0" w:line="408" w:lineRule="exact"/>
        <w:ind w:left="0" w:right="0" w:firstLine="576"/>
        <w:jc w:val="left"/>
      </w:pPr>
      <w:r>
        <w:rPr>
          <w:u w:val="single"/>
        </w:rPr>
        <w:t xml:space="preserve">(b) "Industry" means the North American industry classification system code identified at the three-digit level.</w:t>
      </w:r>
    </w:p>
    <w:p>
      <w:pPr>
        <w:spacing w:before="0" w:after="0" w:line="408" w:lineRule="exact"/>
        <w:ind w:left="0" w:right="0" w:firstLine="576"/>
        <w:jc w:val="left"/>
      </w:pPr>
      <w:r>
        <w:rPr>
          <w:u w:val="single"/>
        </w:rPr>
        <w:t xml:space="preserve">(c) "Major taxes" means the following state taxes: Business and occupation taxes, property taxes, estimated sales taxes, public utility taxes, unemployment insurance contributions, and workers' compensation premiums.</w:t>
      </w:r>
    </w:p>
    <w:p>
      <w:pPr>
        <w:spacing w:before="0" w:after="0" w:line="408" w:lineRule="exact"/>
        <w:ind w:left="0" w:right="0" w:firstLine="576"/>
        <w:jc w:val="left"/>
      </w:pPr>
      <w:r>
        <w:rPr>
          <w:u w:val="single"/>
        </w:rPr>
        <w:t xml:space="preserve">(d)(i) "Selected business tax incentive" means any of the tax preferences specified in (d)(ii) of this subsection, if the department determines that all or a majority of the taxpayers entitled or likely to claim the tax preference are businesses.</w:t>
      </w:r>
    </w:p>
    <w:p>
      <w:pPr>
        <w:spacing w:before="0" w:after="0" w:line="408" w:lineRule="exact"/>
        <w:ind w:left="0" w:right="0" w:firstLine="576"/>
        <w:jc w:val="left"/>
      </w:pPr>
      <w:r>
        <w:rPr>
          <w:u w:val="single"/>
        </w:rPr>
        <w:t xml:space="preserve">(ii) Selected business tax incentives are limited to the following tax preferences meeting the requirements in (d) of this subsection:</w:t>
      </w:r>
    </w:p>
    <w:p>
      <w:pPr>
        <w:spacing w:before="0" w:after="0" w:line="408" w:lineRule="exact"/>
        <w:ind w:left="0" w:right="0" w:firstLine="576"/>
        <w:jc w:val="left"/>
      </w:pPr>
      <w:r>
        <w:rPr>
          <w:u w:val="single"/>
        </w:rPr>
        <w:t xml:space="preserve">(A) Deductions and credits under chapters 82.04 and 82.16 RCW;</w:t>
      </w:r>
    </w:p>
    <w:p>
      <w:pPr>
        <w:spacing w:before="0" w:after="0" w:line="408" w:lineRule="exact"/>
        <w:ind w:left="0" w:right="0" w:firstLine="576"/>
        <w:jc w:val="left"/>
      </w:pPr>
      <w:r>
        <w:rPr>
          <w:u w:val="single"/>
        </w:rPr>
        <w:t xml:space="preserve">(B) Sales and use tax exemptions and credits. This subsection (7)(d)(ii)(B) does not include exclusions from the definition of retail sale, selling price, or other definitional exclusions; and</w:t>
      </w:r>
    </w:p>
    <w:p>
      <w:pPr>
        <w:spacing w:before="0" w:after="0" w:line="408" w:lineRule="exact"/>
        <w:ind w:left="0" w:right="0" w:firstLine="576"/>
        <w:jc w:val="left"/>
      </w:pPr>
      <w:r>
        <w:rPr>
          <w:u w:val="single"/>
        </w:rPr>
        <w:t xml:space="preserve">(C) Preferential business and occupation tax rates.</w:t>
      </w:r>
    </w:p>
    <w:p>
      <w:pPr>
        <w:spacing w:before="0" w:after="0" w:line="408" w:lineRule="exact"/>
        <w:ind w:left="0" w:right="0" w:firstLine="576"/>
        <w:jc w:val="left"/>
      </w:pPr>
      <w:r>
        <w:rPr>
          <w:u w:val="single"/>
        </w:rPr>
        <w:t xml:space="preserve">(iii) "Selected business tax incentive" does not include any tax preference:</w:t>
      </w:r>
    </w:p>
    <w:p>
      <w:pPr>
        <w:spacing w:before="0" w:after="0" w:line="408" w:lineRule="exact"/>
        <w:ind w:left="0" w:right="0" w:firstLine="576"/>
        <w:jc w:val="left"/>
      </w:pPr>
      <w:r>
        <w:rPr>
          <w:u w:val="single"/>
        </w:rPr>
        <w:t xml:space="preserve">(A) Enacted as part of the revenue act of 1935 (chapter 180, Laws of 1935);</w:t>
      </w:r>
    </w:p>
    <w:p>
      <w:pPr>
        <w:spacing w:before="0" w:after="0" w:line="408" w:lineRule="exact"/>
        <w:ind w:left="0" w:right="0" w:firstLine="576"/>
        <w:jc w:val="left"/>
      </w:pPr>
      <w:r>
        <w:rPr>
          <w:u w:val="single"/>
        </w:rPr>
        <w:t xml:space="preserve">(B) Enacted for the purposes of ensuring compliance with the state Constitution or the Constitution or laws of the United States;</w:t>
      </w:r>
    </w:p>
    <w:p>
      <w:pPr>
        <w:spacing w:before="0" w:after="0" w:line="408" w:lineRule="exact"/>
        <w:ind w:left="0" w:right="0" w:firstLine="576"/>
        <w:jc w:val="left"/>
      </w:pPr>
      <w:r>
        <w:rPr>
          <w:u w:val="single"/>
        </w:rPr>
        <w:t xml:space="preserve">(C) Enacted for the purpose of eliminating multiple taxation of the same activity, transaction, or income; or</w:t>
      </w:r>
    </w:p>
    <w:p>
      <w:pPr>
        <w:spacing w:before="0" w:after="0" w:line="408" w:lineRule="exact"/>
        <w:ind w:left="0" w:right="0" w:firstLine="576"/>
        <w:jc w:val="left"/>
      </w:pPr>
      <w:r>
        <w:rPr>
          <w:u w:val="single"/>
        </w:rPr>
        <w:t xml:space="preserve">(D) That is obsolete or redundant.</w:t>
      </w:r>
    </w:p>
    <w:p>
      <w:pPr>
        <w:spacing w:before="0" w:after="0" w:line="408" w:lineRule="exact"/>
        <w:ind w:left="0" w:right="0" w:firstLine="576"/>
        <w:jc w:val="left"/>
      </w:pPr>
      <w:r>
        <w:rPr>
          <w:u w:val="single"/>
        </w:rPr>
        <w:t xml:space="preserve">(iv) "Selected business tax incentive" also includes any tax preference requiring claimants to file an annual tax performance report under RCW 82.32.534 if the tax preference otherwise meets the definition of "selected business tax incentive" in this subsection (7)(d).</w:t>
      </w:r>
    </w:p>
    <w:p>
      <w:pPr>
        <w:spacing w:before="0" w:after="0" w:line="408" w:lineRule="exact"/>
        <w:ind w:left="0" w:right="0" w:firstLine="576"/>
        <w:jc w:val="left"/>
      </w:pPr>
      <w:r>
        <w:rPr>
          <w:u w:val="single"/>
        </w:rPr>
        <w:t xml:space="preserve">(v) For purposes of this subsection (7)(d), the following definitions apply unless the context clearly requires otherwise:</w:t>
      </w:r>
    </w:p>
    <w:p>
      <w:pPr>
        <w:spacing w:before="0" w:after="0" w:line="408" w:lineRule="exact"/>
        <w:ind w:left="0" w:right="0" w:firstLine="576"/>
        <w:jc w:val="left"/>
      </w:pPr>
      <w:r>
        <w:rPr>
          <w:u w:val="single"/>
        </w:rPr>
        <w:t xml:space="preserve">(A) "Business" means a person engaging in business but does not include:</w:t>
      </w:r>
    </w:p>
    <w:p>
      <w:pPr>
        <w:spacing w:before="0" w:after="0" w:line="408" w:lineRule="exact"/>
        <w:ind w:left="0" w:right="0" w:firstLine="576"/>
        <w:jc w:val="left"/>
      </w:pPr>
      <w:r>
        <w:rPr>
          <w:u w:val="single"/>
        </w:rPr>
        <w:t xml:space="preserve">(I) A nonprofit entity;</w:t>
      </w:r>
    </w:p>
    <w:p>
      <w:pPr>
        <w:spacing w:before="0" w:after="0" w:line="408" w:lineRule="exact"/>
        <w:ind w:left="0" w:right="0" w:firstLine="576"/>
        <w:jc w:val="left"/>
      </w:pPr>
      <w:r>
        <w:rPr>
          <w:u w:val="single"/>
        </w:rPr>
        <w:t xml:space="preserve">(II) A public entity, including any entity created by one or more governments; or</w:t>
      </w:r>
    </w:p>
    <w:p>
      <w:pPr>
        <w:spacing w:before="0" w:after="0" w:line="408" w:lineRule="exact"/>
        <w:ind w:left="0" w:right="0" w:firstLine="576"/>
        <w:jc w:val="left"/>
      </w:pPr>
      <w:r>
        <w:rPr>
          <w:u w:val="single"/>
        </w:rPr>
        <w:t xml:space="preserve">(III) An individual in his or her capacity as an employee.</w:t>
      </w:r>
    </w:p>
    <w:p>
      <w:pPr>
        <w:spacing w:before="0" w:after="0" w:line="408" w:lineRule="exact"/>
        <w:ind w:left="0" w:right="0" w:firstLine="576"/>
        <w:jc w:val="left"/>
      </w:pPr>
      <w:r>
        <w:rPr>
          <w:u w:val="single"/>
        </w:rPr>
        <w:t xml:space="preserve">(B) "Deduction" means a tax preference that allows specified amounts to be deducted from the measure of tax, and the statute authorizing the deduction explicitly contains some form of the word "deduct."</w:t>
      </w:r>
    </w:p>
    <w:p>
      <w:pPr>
        <w:spacing w:before="0" w:after="0" w:line="408" w:lineRule="exact"/>
        <w:ind w:left="0" w:right="0" w:firstLine="576"/>
        <w:jc w:val="left"/>
      </w:pPr>
      <w:r>
        <w:rPr>
          <w:u w:val="single"/>
        </w:rPr>
        <w:t xml:space="preserve">(C) "Preferential business and occupation tax rate" means a reduced tax rate under chapter 82.04 RCW provided to a specified group of taxpayers otherwise taxable under a nonpreferential rate within an existing tax classification rather than to all taxpayers within the existing tax classification, regardless of whether the reduced tax rate applies to activities that were formerly taxed at a lower rate in addition to activities that were formerly taxed at a higher rate. "Preferential business and occupation tax rate" does not include the general rates for persons engaging in business as an extractor, extractor for hire, manufacturer, or processor for hire; persons making retail sales; persons making wholesale sales; persons engaging in the activities taxed under RCW 82.04.280(1) (b) or (g); or persons engaging in activities taxed under RCW 82.04.290(2)(a).</w:t>
      </w:r>
    </w:p>
    <w:p>
      <w:pPr>
        <w:spacing w:before="0" w:after="0" w:line="408" w:lineRule="exact"/>
        <w:ind w:left="0" w:right="0" w:firstLine="576"/>
        <w:jc w:val="left"/>
      </w:pPr>
      <w:r>
        <w:rPr>
          <w:u w:val="single"/>
        </w:rPr>
        <w:t xml:space="preserve">(D) "Taxpayer" means a person who is registered with the department to file returns for any of the taxes imposed in chapter 82.04, 82.08, 82.12, or 82.16 RCW. With respect to sales and use tax exemptions, "taxpayer" also includes any person regardless of whether the person is registered with the department for tax purposes.</w:t>
      </w:r>
    </w:p>
    <w:p>
      <w:pPr>
        <w:spacing w:before="0" w:after="0" w:line="408" w:lineRule="exact"/>
        <w:ind w:left="0" w:right="0" w:firstLine="576"/>
        <w:jc w:val="left"/>
      </w:pPr>
      <w:r>
        <w:rPr>
          <w:u w:val="single"/>
        </w:rPr>
        <w:t xml:space="preserve">(e) "Taxable income" means the taxable amount reported for business and occupation taxes under chapter 82.04 RCW and public utility taxes under chapter 82.16 RCW. "Taxable income" does not include any amount for which a credit is allowed under RCW 82.04.440.</w:t>
      </w:r>
    </w:p>
    <w:p>
      <w:pPr>
        <w:spacing w:before="0" w:after="0" w:line="408" w:lineRule="exact"/>
        <w:ind w:left="0" w:right="0" w:firstLine="576"/>
        <w:jc w:val="left"/>
      </w:pPr>
      <w:r>
        <w:rPr>
          <w:u w:val="single"/>
        </w:rPr>
        <w:t xml:space="preserve">(f) "Tax exemption" means an exemption, exclusion, or deduction from the base of a tax, a credit against a tax, a deferral of a tax, or a preferential tax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The department must publish a report on its web site on the history and impact of the property tax levy limitations in this chapter. The report must include the estimated foregone state property tax revenues attributed to the levy limitations over time going only as far back in time as the department has reliable data. The report is due in September 2019 and must be updated by the end of each subsequent September.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Beginning in 2018 the department must publish a report on its web site of the estimated loss of state and local retail sales taxes from remote sales. The report must include the estimated revenue increases under Engrossed House Bill No. 2163 (chapter 28, Laws of 2017 3rd sp. sess.) and may also include estimates of the net gain of state and local retail sales taxes under any pending federal legislation that would grant states the authority to compel remote sellers to collect retail sales tax on remote sales regardless of the seller's physical location. The local retail sales tax data in the report may be provided on a consolidated basis rather than broken out by separate taxing authority.</w:t>
      </w:r>
    </w:p>
    <w:p>
      <w:pPr>
        <w:spacing w:before="0" w:after="0" w:line="408" w:lineRule="exact"/>
        <w:ind w:left="0" w:right="0" w:firstLine="576"/>
        <w:jc w:val="left"/>
      </w:pPr>
      <w:r>
        <w:rPr/>
        <w:t xml:space="preserve">(b) The department must update the report annually until:</w:t>
      </w:r>
    </w:p>
    <w:p>
      <w:pPr>
        <w:spacing w:before="0" w:after="0" w:line="408" w:lineRule="exact"/>
        <w:ind w:left="0" w:right="0" w:firstLine="576"/>
        <w:jc w:val="left"/>
      </w:pPr>
      <w:r>
        <w:rPr/>
        <w:t xml:space="preserve">(i) This state can legally impose sales tax collection duties on remote sellers under federal law; and</w:t>
      </w:r>
    </w:p>
    <w:p>
      <w:pPr>
        <w:spacing w:before="0" w:after="0" w:line="408" w:lineRule="exact"/>
        <w:ind w:left="0" w:right="0" w:firstLine="576"/>
        <w:jc w:val="left"/>
      </w:pPr>
      <w:r>
        <w:rPr/>
        <w:t xml:space="preserve">(ii) The most recent report includes the estimates required in (a) of this subsection through the last day that remote sellers did not have a legal duty to collect retail sales tax on remote sales.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"Remote sale" means a retail sale into this state by a remote seller;</w:t>
      </w:r>
    </w:p>
    <w:p>
      <w:pPr>
        <w:spacing w:before="0" w:after="0" w:line="408" w:lineRule="exact"/>
        <w:ind w:left="0" w:right="0" w:firstLine="576"/>
        <w:jc w:val="left"/>
      </w:pPr>
      <w:r>
        <w:rPr/>
        <w:t xml:space="preserve">(b) "Remote seller" means a seller that does not have a physical presence in this state; and</w:t>
      </w:r>
    </w:p>
    <w:p>
      <w:pPr>
        <w:spacing w:before="0" w:after="0" w:line="408" w:lineRule="exact"/>
        <w:ind w:left="0" w:right="0" w:firstLine="576"/>
        <w:jc w:val="left"/>
      </w:pPr>
      <w:r>
        <w:rPr/>
        <w:t xml:space="preserve">(c) "Retail sale" has the same meaning as in RCW 82.04.050.</w:t>
      </w:r>
    </w:p>
    <w:p/>
    <w:p>
      <w:pPr>
        <w:jc w:val="center"/>
      </w:pPr>
      <w:r>
        <w:rPr>
          <w:b/>
        </w:rPr>
        <w:t>--- END ---</w:t>
      </w:r>
    </w:p>
    <w:sectPr>
      <w:pgNumType w:start="1"/>
      <w:footerReference xmlns:r="http://schemas.openxmlformats.org/officeDocument/2006/relationships" r:id="R3328a435c1e24d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ea0943cf3a45ed" /><Relationship Type="http://schemas.openxmlformats.org/officeDocument/2006/relationships/footer" Target="/word/footer.xml" Id="R3328a435c1e24dce" /></Relationships>
</file>