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9da9ef274b4bd0" /></Relationships>
</file>

<file path=word/document.xml><?xml version="1.0" encoding="utf-8"?>
<w:document xmlns:w="http://schemas.openxmlformats.org/wordprocessingml/2006/main">
  <w:body>
    <w:p>
      <w:r>
        <w:t>S-2146.1</w:t>
      </w:r>
    </w:p>
    <w:p>
      <w:pPr>
        <w:jc w:val="center"/>
      </w:pPr>
      <w:r>
        <w:t>_______________________________________________</w:t>
      </w:r>
    </w:p>
    <w:p/>
    <w:p>
      <w:pPr>
        <w:jc w:val="center"/>
      </w:pPr>
      <w:r>
        <w:rPr>
          <w:b/>
        </w:rPr>
        <w:t>SENATE BILL 5914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Braun</w:t>
      </w:r>
    </w:p>
    <w:p/>
    <w:p>
      <w:r>
        <w:rPr>
          <w:t xml:space="preserve">Read first time 03/30/17.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employer collection and remission of dues and other amounts on behalf of labor organizations; adding a new section to chapter 41.56 RCW; adding a new section to chapter 47.64 RCW; adding a new section to chapter 28B.52 RCW; adding a new section to chapter 41.59 RCW; adding a new section to chapter 41.80 RCW; adding a new section to chapter 49.39 RCW; adding a new section to chapter 41.76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and local employers cover the administrative costs of dues and other voluntary withholding collections and remittance as well as other costs related to administering collective bargaining. The legislature intends to cover a portion of the cost by retaining a small amount of the dues and other amounts collected on behalf of and remitted to public employee unions to cover a portion of the costs associated with the public employment relations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 public employer that collects and remits dues and other amounts on behalf of a labor organization may retain up to five percent of the amount collected to offset the cost of administration.</w:t>
      </w:r>
    </w:p>
    <w:p>
      <w:pPr>
        <w:spacing w:before="0" w:after="0" w:line="408" w:lineRule="exact"/>
        <w:ind w:left="0" w:right="0" w:firstLine="576"/>
        <w:jc w:val="left"/>
      </w:pPr>
      <w:r>
        <w:rPr/>
        <w:t xml:space="preserve">(2)(a) The office of financial management shall establish the amount retained by state agencies under subsection (1) of this section. The rate must be the higher of: (i) At least two percent, or (ii) a level that ensures that the funds retained are no less than one-half of the total amount appropriated to the public employment relations commission during the previous fiscal biennium.</w:t>
      </w:r>
    </w:p>
    <w:p>
      <w:pPr>
        <w:spacing w:before="0" w:after="0" w:line="408" w:lineRule="exact"/>
        <w:ind w:left="0" w:right="0" w:firstLine="576"/>
        <w:jc w:val="left"/>
      </w:pPr>
      <w:r>
        <w:rPr/>
        <w:t xml:space="preserve">(b) The amount retained by state agencies under this section must be deposited to the personnel service fund under RCW 41.06.270 and used for costs of the public employee relations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Section 2 of this act applies to employers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Section 2 of this act applies to employers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59</w:t>
      </w:r>
      <w:r>
        <w:rPr/>
        <w:t xml:space="preserve"> RCW</w:t>
      </w:r>
      <w:r>
        <w:rPr/>
        <w:t xml:space="preserve"> to read as follows:</w:t>
      </w:r>
    </w:p>
    <w:p>
      <w:pPr>
        <w:spacing w:before="0" w:after="0" w:line="408" w:lineRule="exact"/>
        <w:ind w:left="0" w:right="0" w:firstLine="576"/>
        <w:jc w:val="left"/>
      </w:pPr>
      <w:r>
        <w:rPr/>
        <w:t xml:space="preserve">Section 2 of this act applies to employers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Section 2 of this act applies to employers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39</w:t>
      </w:r>
      <w:r>
        <w:rPr/>
        <w:t xml:space="preserve"> RCW</w:t>
      </w:r>
      <w:r>
        <w:rPr/>
        <w:t xml:space="preserve"> to read as follows:</w:t>
      </w:r>
    </w:p>
    <w:p>
      <w:pPr>
        <w:spacing w:before="0" w:after="0" w:line="408" w:lineRule="exact"/>
        <w:ind w:left="0" w:right="0" w:firstLine="576"/>
        <w:jc w:val="left"/>
      </w:pPr>
      <w:r>
        <w:rPr/>
        <w:t xml:space="preserve">Section 2 of this act applies to employers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Section 2 of this act applies to employers under this chapter.</w:t>
      </w:r>
    </w:p>
    <w:p/>
    <w:p>
      <w:pPr>
        <w:jc w:val="center"/>
      </w:pPr>
      <w:r>
        <w:rPr>
          <w:b/>
        </w:rPr>
        <w:t>--- END ---</w:t>
      </w:r>
    </w:p>
    <w:sectPr>
      <w:pgNumType w:start="1"/>
      <w:footerReference xmlns:r="http://schemas.openxmlformats.org/officeDocument/2006/relationships" r:id="Rd7acc9f787ca41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1255126f194a09" /><Relationship Type="http://schemas.openxmlformats.org/officeDocument/2006/relationships/footer" Target="/word/footer.xml" Id="Rd7acc9f787ca41da" /></Relationships>
</file>