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56e6e73c947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5934</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Senate Law &amp; Justice (originally sponsored by Senator Padden)</w:t>
      </w:r>
    </w:p>
    <w:p/>
    <w:p>
      <w:r>
        <w:rPr>
          <w:t xml:space="preserve">READ FIRST TIME 05/05/17.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convicted persons; amending RCW 9.94A.589, 9.94B.050, 9.94A.501, 9.94A.533, 9.94A.525, 46.20.117, and 46.20.117; amending 2013 2nd sp.s. c 14 s 10 (uncodified); reenacting and amending RCW 9.94A.515; adding a new section to chapter 9.94B RCW; adding new sections to chapter 9.94A RCW; adding a new section to chapter 72.09 RCW; creating new sections; repealing 2015 c 291 s 9; repealing 2015 c 291 ss 15 and 16 (uncodified);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SERIOUSNESS LEVEL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1 (third or subsequent offense)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9A.56.---(1) (section 6(1), chapter 266, Laws of 2017))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Residential Burglary (RCW 9A.52.025)</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1 (motor vehicle, third or subsequent offense)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Possession of Stolen Vehicle (third or subsequent offense)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of Motor Vehicle (third or subsequent offense)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Malicious Mischief 2 (motor vehicle, third or subsequent offense)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Taking Motor Vehicle Without Permission 2 (third or subsequent offense)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Vehicle Prowl 1 (third or subsequent offense)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9A.56.---(2) (section 6(2), chapter 266, Laws of 2017))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201 through 204 of this act upon the effective date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ten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401 and 402 of this act over a period of time not to exceed twelve months. For any offender under active supervision by the department as of the effective date of this section, he or she is not eligible to earn positive achievement time pursuant to section 402 of this act until he or she has received an orientation by the department regarding positive time.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HABITUAL PROPERTY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502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MOTOR VEHICLE PROPERTY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w:t>
      </w:r>
      <w:r>
        <w:t>((</w:t>
      </w:r>
      <w:r>
        <w:rPr>
          <w:strike/>
        </w:rPr>
        <w:t xml:space="preserve">or</w:t>
      </w:r>
      <w:r>
        <w:t>))</w:t>
      </w:r>
      <w:r>
        <w:rPr/>
        <w:t xml:space="preserve"> Taking a Motor Vehicle Without Permission 2, </w:t>
      </w:r>
      <w:r>
        <w:rPr>
          <w:u w:val="single"/>
        </w:rPr>
        <w:t xml:space="preserve">Malicious Mischief 1 (motor vehicle), or Malicious Mischief 2 (motor vehicle),</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w:t>
      </w:r>
      <w:r>
        <w:t>((</w:t>
      </w:r>
      <w:r>
        <w:rPr>
          <w:strike/>
        </w:rPr>
        <w:t xml:space="preserve">or</w:t>
      </w:r>
      <w:r>
        <w:t>))</w:t>
      </w:r>
      <w:r>
        <w:rPr/>
        <w:t xml:space="preserve"> Taking a Motor Vehicle Without Permission 2</w:t>
      </w:r>
      <w:r>
        <w:rPr>
          <w:u w:val="single"/>
        </w:rPr>
        <w:t xml:space="preserve">, Malicious Mischief 1 (motor vehicle), or Malicious Mischief 2 (motor vehicle)</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1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w:t>
      </w:r>
      <w:r>
        <w:rPr/>
        <w:t xml:space="preserve">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fifty-four dollars, unless an applicant is: </w:t>
      </w: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w:t>
      </w:r>
      <w:r>
        <w:t>((</w:t>
      </w:r>
      <w:r>
        <w:rPr>
          <w:strike/>
        </w:rPr>
        <w:t xml:space="preserve">(ii)</w:t>
      </w:r>
      <w:r>
        <w:t>))</w:t>
      </w:r>
      <w:r>
        <w:rPr/>
        <w:t xml:space="preserve"> </w:t>
      </w:r>
      <w:r>
        <w:rPr>
          <w:u w:val="single"/>
        </w:rPr>
        <w:t xml:space="preserve">(B)</w:t>
      </w:r>
      <w:r>
        <w:rPr/>
        <w:t xml:space="preserve"> under the age of eighteen and does not have a permanent residence address as determined by the department by rule.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702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w:t>
      </w:r>
      <w:r>
        <w:rPr>
          <w:u w:val="single"/>
        </w:rPr>
        <w:t xml:space="preserve">(i)</w:t>
      </w:r>
      <w:r>
        <w:rPr/>
        <w:t xml:space="preserve">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u w:val="single"/>
        </w:rPr>
        <w:t xml:space="preserve">(ii)</w:t>
      </w:r>
      <w:r>
        <w:rPr/>
        <w:t xml:space="preserve"> 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702 through 704 of this act, and have discretion to implement sections 702 through 704 of this act over a period of time not to exceed twelve months from the effective date of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is necessary for the immediate preservation of the public peace, health, or safety, or support of the state government and its existing public institutions, and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401 through 403, and 703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38581c31ee9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cca1167f64ec5" /><Relationship Type="http://schemas.openxmlformats.org/officeDocument/2006/relationships/footer" Target="/word/footer.xml" Id="Ra38581c31ee942fd" /></Relationships>
</file>