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53d0aafe84d1a" /></Relationships>
</file>

<file path=word/document.xml><?xml version="1.0" encoding="utf-8"?>
<w:document xmlns:w="http://schemas.openxmlformats.org/wordprocessingml/2006/main">
  <w:body>
    <w:p>
      <w:r>
        <w:t>S-2757.2</w:t>
      </w:r>
    </w:p>
    <w:p>
      <w:pPr>
        <w:jc w:val="center"/>
      </w:pPr>
      <w:r>
        <w:t>_______________________________________________</w:t>
      </w:r>
    </w:p>
    <w:p/>
    <w:p>
      <w:pPr>
        <w:jc w:val="center"/>
      </w:pPr>
      <w:r>
        <w:rPr>
          <w:b/>
        </w:rPr>
        <w:t>SENATE BILL 5934</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Senator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convicted persons; amending RCW 9.94A.589, 9.94B.050, 9.94A.501, 9.94A.533, 46.20.117, and 46.20.117; amending 2013 2nd sp.s. c 14 s 10 (uncodified); reenacting and amending RCW 9.94A.515; adding a new section to chapter 9.94B RCW; adding new sections to chapter 9.94A RCW; adding a new section to chapter 72.09 RCW; creating new sections; repealing 2015 c 291 s 9; repealing 2015 c 291 ss 15 and 16 (uncodified); prescribing penalties;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SERIOUSNESS LEVEL OF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w:t>
            </w:r>
            <w:r>
              <w:t>((</w:t>
            </w:r>
            <w:r>
              <w:rPr>
                <w:rFonts w:ascii="Times New Roman" w:hAnsi="Times New Roman"/>
                <w:strike/>
                <w:sz w:val="20"/>
              </w:rPr>
              <w:t xml:space="preserve">1 (RCW 9A.44.073)</w:t>
            </w:r>
            <w:r>
              <w:t>))</w:t>
            </w:r>
            <w:r>
              <w:rPr>
                <w:rFonts w:ascii="Times New Roman" w:hAnsi="Times New Roman"/>
                <w:sz w:val="20"/>
              </w:rPr>
              <w:t xml:space="preserve"> </w:t>
            </w:r>
            <w:r>
              <w:rPr>
                <w:rFonts w:ascii="Times New Roman" w:hAnsi="Times New Roman"/>
                <w:sz w:val="20"/>
                <w:u w:val="single"/>
              </w:rPr>
              <w:t xml:space="preserve">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Rape of a Child 2 (RCW 9A.44.076)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Child Molestation 1 (RCW 9A.44.083)</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Child Molestation 2 (RCW 9A.44.086)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Rape of a Child 3 (RCW 9A.44.079)</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Child Molestation 3 (RCW 9A.44.089)</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COMMUNITY CUSTODY: CONCURRENT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such terms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w:t>
      </w:r>
      <w:r>
        <w:t>((</w:t>
      </w:r>
      <w:r>
        <w:rPr>
          <w:strike/>
        </w:rPr>
        <w:t xml:space="preserve">In the case of consecutive sentences,</w:t>
      </w:r>
      <w:r>
        <w:t>))</w:t>
      </w:r>
      <w:r>
        <w:rPr/>
        <w:t xml:space="preserve"> </w:t>
      </w:r>
      <w:r>
        <w:rPr>
          <w:u w:val="single"/>
        </w:rPr>
        <w:t xml:space="preserve">A</w:t>
      </w:r>
      <w:r>
        <w:rPr/>
        <w:t xml:space="preserve">ll periods of total confinement shall be served before any partial confinement, community </w:t>
      </w:r>
      <w:r>
        <w:t>((</w:t>
      </w:r>
      <w:r>
        <w:rPr>
          <w:strike/>
        </w:rPr>
        <w:t xml:space="preserve">restitution, community supervision</w:t>
      </w:r>
      <w:r>
        <w:t>))</w:t>
      </w:r>
      <w:r>
        <w:rPr/>
        <w:t xml:space="preserve"> </w:t>
      </w:r>
      <w:r>
        <w:rPr>
          <w:u w:val="single"/>
        </w:rPr>
        <w:t xml:space="preserve">custody</w:t>
      </w:r>
      <w:r>
        <w:rPr/>
        <w:t xml:space="preserve">, or any other requirement or conditions of any of the sentences. </w:t>
      </w:r>
      <w:r>
        <w:t>((</w:t>
      </w:r>
      <w:r>
        <w:rPr>
          <w:strike/>
        </w:rPr>
        <w:t xml:space="preserve">Except for exceptional sentences as authorized under RCW 9.94A.535, if two or more sentences that run consecutively include periods of community supervision, the aggregate of the community supervision period shall not exceed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94B</w:t>
      </w:r>
      <w:r>
        <w:rPr/>
        <w:t xml:space="preserve"> RCW</w:t>
      </w:r>
      <w:r>
        <w:rPr/>
        <w:t xml:space="preserve"> to read as follows:</w:t>
      </w:r>
    </w:p>
    <w:p>
      <w:pPr>
        <w:spacing w:before="0" w:after="0" w:line="408" w:lineRule="exact"/>
        <w:ind w:left="0" w:right="0" w:firstLine="576"/>
        <w:jc w:val="left"/>
      </w:pPr>
      <w:r>
        <w:rPr/>
        <w:t xml:space="preserve">Except for exceptional sentences as authorized under RCW 9.94A.535, if two or more sentences that run consecutively include periods of community supervision that the court has expressly ordered to run consecutively, the aggregate of the community supervision period shall not exceed twenty-four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2017, and offenders have no reason to conclude that the recalculation of their community custody terms before July 1, 2017, is an entitlement or creates any liberty interest in their community custody term ending before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sections 201 through 204 of this act upon the effective date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COMMUNITY CUSTODY: MOTOR VEHICLE OFFENSE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purpose, a pilot program is established for the supervision of offenders convicted of felonies relating to the theft or taking of a motor vehicle.</w:t>
      </w:r>
    </w:p>
    <w:p>
      <w:pPr>
        <w:spacing w:before="0" w:after="0" w:line="408" w:lineRule="exact"/>
        <w:ind w:left="0" w:right="0" w:firstLine="576"/>
        <w:jc w:val="left"/>
      </w:pPr>
      <w:r>
        <w:rPr/>
        <w:t xml:space="preserve">(2) Notwithstanding the provisions of RCW 9.94A.701, until June 30, 2019, the court may sentence an offender to community custody for a term of one year when the court sentences the person to the custody of the department for theft of a motor vehicle (RCW 9A.56.065), possession of a stolen vehicle (RCW 9A.56.068), taking a motor vehicle without permission in the first degree (RCW 9A.56.070), taking a motor vehicle without permission in the second degree (RCW 9A.56.075), or a crime against property with a prior conviction for one of the preceding motor vehicle crimes.</w:t>
      </w:r>
    </w:p>
    <w:p>
      <w:pPr>
        <w:spacing w:before="0" w:after="0" w:line="408" w:lineRule="exact"/>
        <w:ind w:left="0" w:right="0" w:firstLine="576"/>
        <w:jc w:val="left"/>
      </w:pPr>
      <w:r>
        <w:rPr/>
        <w:t xml:space="preserve">(3) Notwithstanding the provisions of RCW 9.94A.501, the department shall supervise any offender sentenced to community custody pursuant to subsection (2) of this section.</w:t>
      </w:r>
    </w:p>
    <w:p>
      <w:pPr>
        <w:spacing w:before="0" w:after="0" w:line="408" w:lineRule="exact"/>
        <w:ind w:left="0" w:right="0" w:firstLine="576"/>
        <w:jc w:val="left"/>
      </w:pPr>
      <w:r>
        <w:rPr/>
        <w:t xml:space="preserve">(4) No later than November 1, 2020, the department must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(5) This section expires December 31, 2020.</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COMMUNITY CUSTODY: GOOD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u w:val="single"/>
        </w:rPr>
        <w:t xml:space="preserve">(9) The period of time the department is authorized to supervise an offender under this section may be reduced by the earned award of positive achievement time pursuant to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achievement time in accordance with procedures that are developed and adopted by the department.</w:t>
      </w:r>
    </w:p>
    <w:p>
      <w:pPr>
        <w:spacing w:before="0" w:after="0" w:line="408" w:lineRule="exact"/>
        <w:ind w:left="0" w:right="0" w:firstLine="576"/>
        <w:jc w:val="left"/>
      </w:pPr>
      <w:r>
        <w:rPr/>
        <w:t xml:space="preserve">(a) The positive achievement time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positive achievement time of ten days.</w:t>
      </w:r>
    </w:p>
    <w:p>
      <w:pPr>
        <w:spacing w:before="0" w:after="0" w:line="408" w:lineRule="exact"/>
        <w:ind w:left="0" w:right="0" w:firstLine="576"/>
        <w:jc w:val="left"/>
      </w:pPr>
      <w:r>
        <w:rPr/>
        <w:t xml:space="preserve">(c) Positive achievement time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been identified by the department as a dangerous mentally ill offender pursuant to RCW 72.09.370;</w:t>
      </w:r>
    </w:p>
    <w:p>
      <w:pPr>
        <w:spacing w:before="0" w:after="0" w:line="408" w:lineRule="exact"/>
        <w:ind w:left="0" w:right="0" w:firstLine="576"/>
        <w:jc w:val="left"/>
      </w:pPr>
      <w:r>
        <w:rPr/>
        <w:t xml:space="preserve">(e) Has an indeterminate sentence and is subject to parole pursuant to RCW 9.95.017; or</w:t>
      </w:r>
    </w:p>
    <w:p>
      <w:pPr>
        <w:spacing w:before="0" w:after="0" w:line="408" w:lineRule="exact"/>
        <w:ind w:left="0" w:right="0" w:firstLine="576"/>
        <w:jc w:val="left"/>
      </w:pPr>
      <w:r>
        <w:rPr/>
        <w:t xml:space="preserve">(f)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sections 401 and 402 of this act over a period of time not to exceed twelve months. For any offender under active supervision by the department as of the effective date of this section, he or she is not eligible to earn positive achievement time pursuant to section 402 of this act until he or she has received an orientation by the department regarding positive time.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HABITUAL PROPERTY OFFENDERS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legislature finds there to be a significant number of property crimes in Washington and that the current practices in the criminal justice system are ineffective in reducing recidivism.</w:t>
      </w:r>
    </w:p>
    <w:p>
      <w:pPr>
        <w:spacing w:before="0" w:after="0" w:line="408" w:lineRule="exact"/>
        <w:ind w:left="0" w:right="0" w:firstLine="576"/>
        <w:jc w:val="left"/>
      </w:pPr>
      <w:r>
        <w:rPr/>
        <w:t xml:space="preserve">(2) The legislature further finds that a large portion of property crimes in Washington are committed by habitual offenders. Increasing the sanctions for habitual property offenders will provide more effective deterrents to recidivism. The legislature intends to enhance the courts' discretion to more appropriately sentence habitual property offenders with significant histories of burglary and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and the accused has been convicted of the underlying crime, the court shall make a finding of fact prior to sentencing whether the person is a habitual property offender based on the person's criminal history. If the court finds beyond a reasonable doubt that the person is a habitual property offender, the person shall be sentenced in accordance with RCW 9.94A.533(15).</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felony conviction for which the person is being sentenced is for residential burglary, burglary in the second degree, theft in the first degree, theft in the second degree, theft of a firearm, unlawful issuance of checks or drafts, organized retail theft, theft with special circumstances, or mail theft;</w:t>
      </w:r>
    </w:p>
    <w:p>
      <w:pPr>
        <w:spacing w:before="0" w:after="0" w:line="408" w:lineRule="exact"/>
        <w:ind w:left="0" w:right="0" w:firstLine="576"/>
        <w:jc w:val="left"/>
      </w:pPr>
      <w:r>
        <w:rPr/>
        <w:t xml:space="preserve">(b) The person has an offender score of nine points or higher;</w:t>
      </w:r>
    </w:p>
    <w:p>
      <w:pPr>
        <w:spacing w:before="0" w:after="0" w:line="408" w:lineRule="exact"/>
        <w:ind w:left="0" w:right="0" w:firstLine="576"/>
        <w:jc w:val="left"/>
      </w:pPr>
      <w:r>
        <w:rPr/>
        <w:t xml:space="preserve">(c) At least nine of the points in the person's offender score result from any combination of the following felony offenses: Residential burglary, burglary in the second degree, theft in the first degree, theft in the second degree, theft of a firearm, unlawful issuance of checks or drafts, organized retail theft, theft with special circumstances, or mail theft; and</w:t>
      </w:r>
    </w:p>
    <w:p>
      <w:pPr>
        <w:spacing w:before="0" w:after="0" w:line="408" w:lineRule="exact"/>
        <w:ind w:left="0" w:right="0" w:firstLine="576"/>
        <w:jc w:val="left"/>
      </w:pPr>
      <w:r>
        <w:rPr/>
        <w:t xml:space="preserve">(d) The person has either received drug treatment related to any felony conviction or has refused drug treatment related to any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(15)(a) The following additional times shall be added to the standard sentence range if the court finds that the offender is a habitual property offender pursuant to section 502 of this act:</w:t>
      </w:r>
    </w:p>
    <w:p>
      <w:pPr>
        <w:spacing w:before="0" w:after="0" w:line="408" w:lineRule="exact"/>
        <w:ind w:left="0" w:right="0" w:firstLine="576"/>
        <w:jc w:val="left"/>
      </w:pPr>
      <w:r>
        <w:rPr>
          <w:u w:val="single"/>
        </w:rPr>
        <w:t xml:space="preserve">(i) Twenty-four months if the offender is being sentenced for a felony defined as a class B felony;</w:t>
      </w:r>
    </w:p>
    <w:p>
      <w:pPr>
        <w:spacing w:before="0" w:after="0" w:line="408" w:lineRule="exact"/>
        <w:ind w:left="0" w:right="0" w:firstLine="576"/>
        <w:jc w:val="left"/>
      </w:pPr>
      <w:r>
        <w:rPr>
          <w:u w:val="single"/>
        </w:rPr>
        <w:t xml:space="preserve">(ii) Twelve months if the offender is being sentenced for a felony defined as a class C felony.</w:t>
      </w:r>
    </w:p>
    <w:p>
      <w:pPr>
        <w:spacing w:before="0" w:after="0" w:line="408" w:lineRule="exact"/>
        <w:ind w:left="0" w:right="0" w:firstLine="576"/>
        <w:jc w:val="left"/>
      </w:pPr>
      <w:r>
        <w:rPr>
          <w:u w:val="single"/>
        </w:rPr>
        <w:t xml:space="preserve">(b) A sentence imposed pursuant to this subsection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subsection (15) are mandatory and shall be served in total confinement. However, whether or not the mandatory minimum term has expired, an offender serving a sentence under this subsection may be granted an extraordinary medical placement when authorized under RCW 9.94A.728(1)(c).</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IDENTICARDS FOR PERSONS RELEASED FROM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Has not been found to be subject to an immigration detainer or removal order and does not become subject to a removal order during the period of incarceration. The department must inquire as to a person's immigration status prior to issuance of an identicard in a manner consistent with RCW 10.70.140;</w:t>
      </w:r>
    </w:p>
    <w:p>
      <w:pPr>
        <w:spacing w:before="0" w:after="0" w:line="408" w:lineRule="exact"/>
        <w:ind w:left="0" w:right="0" w:firstLine="576"/>
        <w:jc w:val="left"/>
      </w:pPr>
      <w:r>
        <w:rPr/>
        <w:t xml:space="preserve">(d) Is expected to be released to a location within Washington state; and</w:t>
      </w:r>
    </w:p>
    <w:p>
      <w:pPr>
        <w:spacing w:before="0" w:after="0" w:line="408" w:lineRule="exact"/>
        <w:ind w:left="0" w:right="0" w:firstLine="576"/>
        <w:jc w:val="left"/>
      </w:pPr>
      <w:r>
        <w:rPr/>
        <w:t xml:space="preserve">(e) Pays a fee of eighteen dollars for the cost of the identicard.</w:t>
      </w:r>
    </w:p>
    <w:p>
      <w:pPr>
        <w:spacing w:before="0" w:after="0" w:line="408" w:lineRule="exact"/>
        <w:ind w:left="0" w:right="0" w:firstLine="576"/>
        <w:jc w:val="left"/>
      </w:pPr>
      <w:r>
        <w:rPr/>
        <w:t xml:space="preserve">(3) A state law enforcement agency, court, or the department may not be prohibited from investigating the legal presence of a person or identifying a defendant's legal presence on a judgment and sentence form or any other investigatory or arrest materials provided to the department after conviction for the purposes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602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602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shall charge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sections 602 through 604 of this act, and have discretion to implement sections 602 through 604 of this act over a period of time not to exceed twelve months from the effective date of this section.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APPLICABILITY AND EXPIRATION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2013 2nd sp.s. c 14 s 10</w:t>
      </w:r>
      <w:r>
        <w:rPr/>
        <w:t xml:space="preserve"> (uncodified) is amended to read as follows:</w:t>
      </w:r>
    </w:p>
    <w:p>
      <w:pPr>
        <w:spacing w:before="0" w:after="0" w:line="408" w:lineRule="exact"/>
        <w:ind w:left="0" w:right="0" w:firstLine="576"/>
        <w:jc w:val="left"/>
      </w:pPr>
      <w:r>
        <w:rPr/>
        <w:t xml:space="preserve">Section</w:t>
      </w:r>
      <w:r>
        <w:t>((</w:t>
      </w:r>
      <w:r>
        <w:rPr>
          <w:strike/>
        </w:rPr>
        <w:t xml:space="preserve">s 1 and</w:t>
      </w:r>
      <w:r>
        <w:t>))</w:t>
      </w:r>
      <w:r>
        <w:rPr/>
        <w:t xml:space="preserve"> 5 of this act expire</w:t>
      </w:r>
      <w:r>
        <w:rPr>
          <w:u w:val="single"/>
        </w:rPr>
        <w:t xml:space="preserve">s</w:t>
      </w:r>
      <w:r>
        <w:rPr/>
        <w:t xml:space="preser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c 291 s 9;</w:t>
      </w:r>
    </w:p>
    <w:p>
      <w:pPr>
        <w:spacing w:before="0" w:after="0" w:line="408" w:lineRule="exact"/>
        <w:ind w:left="0" w:right="0" w:firstLine="576"/>
        <w:jc w:val="left"/>
      </w:pPr>
      <w:r>
        <w:t>(2)</w:t>
      </w:r>
      <w:r>
        <w:rPr/>
        <w:t xml:space="preserve">2015 c 291 s 15 (uncodified); and</w:t>
      </w:r>
    </w:p>
    <w:p>
      <w:pPr>
        <w:spacing w:before="0" w:after="0" w:line="408" w:lineRule="exact"/>
        <w:ind w:left="0" w:right="0" w:firstLine="576"/>
        <w:jc w:val="left"/>
      </w:pPr>
      <w:r>
        <w:t>(3)</w:t>
      </w:r>
      <w:r>
        <w:rPr/>
        <w:t xml:space="preserve">2015 c 291 s 16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204 of this act apply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603 of this act expires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and 401 through 403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c14f8cfaa82445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5502aad22341c5" /><Relationship Type="http://schemas.openxmlformats.org/officeDocument/2006/relationships/footer" Target="/word/footer.xml" Id="Rc14f8cfaa824455e" /></Relationships>
</file>