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3caea7de44af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5952</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Senate Law &amp; Justice (originally sponsored by Senators Padden and O'Ban)</w:t>
      </w:r>
    </w:p>
    <w:p/>
    <w:p>
      <w:r>
        <w:rPr>
          <w:t xml:space="preserve">READ FIRST TIME 06/21/17.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department of corrections early release error; amending RCW 72.09.010, 9.94A.480, 9.94A.585, and 49.60.210; adding new sections to chapter 72.09 RCW; adding a new section to chapter 9.94A RCW; adding a new chapter to Title 43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serious allegations arose in 2016 against the department of corrections regarding the department's early release error. The governor's office and senate engaged in investigations that resulted in reports with recommendations to address the matter. The purpose of this act is to implement the legislative recommendations contained in those reports. One of the recommendations in the senate report, based upon testimony from hearings, included enhancing protections for whistleblowers. These reforms will assist in strengthening public safety as well as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r>
        <w:rPr/>
        <w:t xml:space="preserve">.</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created for the purpose of providing information to inmates, family members, representatives of inmates, department employees, and others regarding the rights of inmates; providing technical assistance to support inmate self-advocacy; identifying systemic issues and responses for the governor and the legislature to act upon; reporting to the legislature; and ensuring compliance with relevant statutes, rules, and policies pertaining to conditions of correctional facilities, services, and treatment of inmates under the jurisdiction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no later than October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the ombuds' performance, including its compliance with its internal bylaws and other adopted standards of practice, reporting to the governor and the legislature regarding its findings. The council must provide the legislature with recommendations regarding the ombuds budget and changes in the law that would enhance the effectiveness of the ombuds.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president of the senate shall appoint one member from each of their respective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remaining council members consist of the following members, appointed by the governor, and subject to senate confirmation:</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Two former department of corrections employees;</w:t>
      </w:r>
    </w:p>
    <w:p>
      <w:pPr>
        <w:spacing w:before="0" w:after="0" w:line="408" w:lineRule="exact"/>
        <w:ind w:left="0" w:right="0" w:firstLine="576"/>
        <w:jc w:val="left"/>
      </w:pPr>
      <w:r>
        <w:rPr/>
        <w:t xml:space="preserve">(g) A current department of corrections chaplain; and</w:t>
      </w:r>
    </w:p>
    <w:p>
      <w:pPr>
        <w:spacing w:before="0" w:after="0" w:line="408" w:lineRule="exact"/>
        <w:ind w:left="0" w:right="0" w:firstLine="576"/>
        <w:jc w:val="left"/>
      </w:pPr>
      <w:r>
        <w:rPr/>
        <w:t xml:space="preserve">(h) A community member with dispute resolution training who has experience working in the criminal justice or corrections field.</w:t>
      </w:r>
    </w:p>
    <w:p>
      <w:pPr>
        <w:spacing w:before="0" w:after="0" w:line="408" w:lineRule="exact"/>
        <w:ind w:left="0" w:right="0" w:firstLine="576"/>
        <w:jc w:val="left"/>
      </w:pPr>
      <w:r>
        <w:rPr/>
        <w:t xml:space="preserve">(4)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(6) Councilmembers serve a term of two years, except that the council shall create and implement a system of staggered terms, and no member other than the department staff serving as the internal ombuds may serve more than two consecutive terms. The council shall convene at least quarterly. Councilmembers serve without compensation, except that funds appropriated for the implementation of this chapter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designate, by a competitive bidding process, the nonprofit organization that will contract to operate the office of the corrections ombuds. The contract must last for a period of two years and may be renewed at the end of the term. The department of commerce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organization must be an objective and neutral entity that will impartially investigate complaints.</w:t>
      </w:r>
    </w:p>
    <w:p>
      <w:pPr>
        <w:spacing w:before="0" w:after="0" w:line="408" w:lineRule="exact"/>
        <w:ind w:left="0" w:right="0" w:firstLine="576"/>
        <w:jc w:val="left"/>
      </w:pPr>
      <w:r>
        <w:rPr/>
        <w:t xml:space="preserve">(4) The organization is subject to financial and other audits by the state auditor's office, and its employees must abide by the provisions of chapter 42.52 RCW except when such provisions are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chapter;</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with a view toward the appropriate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(j)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 any allegation of the following that may adversely affect the health, safety, welfare, and rights of inmates:</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(g) The ombuds may refer complainants and others to appropriate resources, agencies, or departments.</w:t>
      </w:r>
    </w:p>
    <w:p>
      <w:pPr>
        <w:spacing w:before="0" w:after="0" w:line="408" w:lineRule="exact"/>
        <w:ind w:left="0" w:right="0" w:firstLine="576"/>
        <w:jc w:val="left"/>
      </w:pPr>
      <w:r>
        <w:rPr/>
        <w:t xml:space="preserve">(h) The ombuds may not levy any fees for the submission or investigation of complaints.</w:t>
      </w:r>
    </w:p>
    <w:p>
      <w:pPr>
        <w:spacing w:before="0" w:after="0" w:line="408" w:lineRule="exact"/>
        <w:ind w:left="0" w:right="0" w:firstLine="576"/>
        <w:jc w:val="left"/>
      </w:pPr>
      <w:r>
        <w:rPr/>
        <w:t xml:space="preserve">(i)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(j)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(k)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(l)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t>
      </w:r>
      <w:r>
        <w:rPr/>
        <w:t xml:space="preserve">department must permit the ombuds to enter and inspect, at any reasonable time, any correctional facility for the purpose of carrying out its duties under this chapter. The ombuds may inspect, view, photograph, and video record all areas of the facility that are used by inmates or are accessible to inmates. Before releasing any photographs or video recordings taken within a correctional facility, the ombuds must consult with the department concerning any safety or security issues.</w:t>
      </w:r>
    </w:p>
    <w:p>
      <w:pPr>
        <w:spacing w:before="0" w:after="0" w:line="408" w:lineRule="exact"/>
        <w:ind w:left="0" w:right="0" w:firstLine="576"/>
        <w:jc w:val="left"/>
      </w:pPr>
      <w:r>
        <w:rPr/>
        <w:t xml:space="preserve">(2) The department must allow the ombuds reasonable access to:</w:t>
      </w:r>
    </w:p>
    <w:p>
      <w:pPr>
        <w:spacing w:before="0" w:after="0" w:line="408" w:lineRule="exact"/>
        <w:ind w:left="0" w:right="0" w:firstLine="576"/>
        <w:jc w:val="left"/>
      </w:pPr>
      <w:r>
        <w:rPr/>
        <w:t xml:space="preserve">(a) Inmates, which includes the opportunity to meet and communicate privately and confidentially with individuals regularly, both formally and informally, by telephone, mail, and in person; and</w:t>
      </w:r>
    </w:p>
    <w:p>
      <w:pPr>
        <w:spacing w:before="0" w:after="0" w:line="408" w:lineRule="exact"/>
        <w:ind w:left="0" w:right="0" w:firstLine="576"/>
        <w:jc w:val="left"/>
      </w:pPr>
      <w:r>
        <w:rPr/>
        <w:t xml:space="preserve">(b) Department employees, or other persons, who might be reasonably believed to have knowledge of the incident under investigation, which includes the opportunity to interview those individuals.</w:t>
      </w:r>
    </w:p>
    <w:p>
      <w:pPr>
        <w:spacing w:before="0" w:after="0" w:line="408" w:lineRule="exact"/>
        <w:ind w:left="0" w:right="0" w:firstLine="576"/>
        <w:jc w:val="left"/>
      </w:pPr>
      <w:r>
        <w:rPr/>
        <w:t xml:space="preserve">(3) Upon the ombuds' request, the department shall grant the ombuds the right to access, inspect, and copy all relevant information, records, or documents in the possession or control of the department that the ombuds considers necessary in an investigation of a complaint filed under this chapter, and must assist the ombuds in obtaining the necessary releases of documents that are specifically restricted or privileged for use by the ombuds.</w:t>
      </w:r>
    </w:p>
    <w:p>
      <w:pPr>
        <w:spacing w:before="0" w:after="0" w:line="408" w:lineRule="exact"/>
        <w:ind w:left="0" w:right="0" w:firstLine="576"/>
        <w:jc w:val="left"/>
      </w:pPr>
      <w:r>
        <w:rPr/>
        <w:t xml:space="preserve">(4) Following notification from the ombuds with a written demand for access to agency records, the delegated department staff must provide the ombuds with access to the requested documentation:</w:t>
      </w:r>
    </w:p>
    <w:p>
      <w:pPr>
        <w:spacing w:before="0" w:after="0" w:line="408" w:lineRule="exact"/>
        <w:ind w:left="0" w:right="0" w:firstLine="576"/>
        <w:jc w:val="left"/>
      </w:pPr>
      <w:r>
        <w:rPr/>
        <w:t xml:space="preserve">(a) Within five business days after the ombuds' request when the records pertain to an inmate death, threats of bodily harm, or the denial of necessary medical treatment;</w:t>
      </w:r>
    </w:p>
    <w:p>
      <w:pPr>
        <w:spacing w:before="0" w:after="0" w:line="408" w:lineRule="exact"/>
        <w:ind w:left="0" w:right="0" w:firstLine="576"/>
        <w:jc w:val="left"/>
      </w:pPr>
      <w:r>
        <w:rPr/>
        <w:t xml:space="preserve">(b) In all other circumstances, not later than thirty business days after the ombuds' request.</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(6)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these processes do not impede the activities outlined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 treat all matters under investigation, including the identities of service recipients, complainants, and individuals from whom information is acquired, as confidential, except as far as disclosures may be necessary to enable the ombuds to perform the duties of the office and to support any recommendations resulting from an investigation.</w:t>
      </w:r>
    </w:p>
    <w:p>
      <w:pPr>
        <w:spacing w:before="0" w:after="0" w:line="408" w:lineRule="exact"/>
        <w:ind w:left="0" w:right="0" w:firstLine="576"/>
        <w:jc w:val="left"/>
      </w:pPr>
      <w:r>
        <w:rPr/>
        <w:t xml:space="preserve">(2) Upon receipt of information that by law is confidential or privileged or exempt from disclosure under chapter 42.56 RCW, the ombuds shall maintain the confidentiality of such information and shall not further disclose or disseminate the information except as provided by applicable state or federal law.</w:t>
      </w:r>
    </w:p>
    <w:p>
      <w:pPr>
        <w:spacing w:before="0" w:after="0" w:line="408" w:lineRule="exact"/>
        <w:ind w:left="0" w:right="0" w:firstLine="576"/>
        <w:jc w:val="left"/>
      </w:pPr>
      <w:r>
        <w:rPr/>
        <w:t xml:space="preserve">(3) Investigative records of the office of the ombuds are confidential and are exempt from public disclosure under chapter 42.56 RCW. Records provided to and communications with the office of the ombuds related to an investigation are also exempt from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Identifying information about complainants or witnesses is not subject to any method of legal compulsion and may not be revealed to the legislature or the governor except under the following circumstances:</w:t>
      </w:r>
    </w:p>
    <w:p>
      <w:pPr>
        <w:spacing w:before="0" w:after="0" w:line="408" w:lineRule="exact"/>
        <w:ind w:left="0" w:right="0" w:firstLine="576"/>
        <w:jc w:val="left"/>
      </w:pPr>
      <w:r>
        <w:rPr/>
        <w:t xml:space="preserve">(a) The complainant or witness waives confidentiality;</w:t>
      </w:r>
    </w:p>
    <w:p>
      <w:pPr>
        <w:spacing w:before="0" w:after="0" w:line="408" w:lineRule="exact"/>
        <w:ind w:left="0" w:right="0" w:firstLine="576"/>
        <w:jc w:val="left"/>
      </w:pPr>
      <w:r>
        <w:rPr/>
        <w:t xml:space="preserve">(b) Under a legislative subpoena when there is a legislative investigation for neglect of duty or misconduct by the ombuds or ombuds' office when the identifying information is necessary to the investigation of the ombuds' acts; or</w:t>
      </w:r>
    </w:p>
    <w:p>
      <w:pPr>
        <w:spacing w:before="0" w:after="0" w:line="408" w:lineRule="exact"/>
        <w:ind w:left="0" w:right="0" w:firstLine="576"/>
        <w:jc w:val="left"/>
      </w:pPr>
      <w:r>
        <w:rPr/>
        <w:t xml:space="preserve">(c) Under an investigation or inquiry by the governor as to neglect of duty or misconduct by the ombuds or ombuds' office when the identifying information is necessary to the investigation of the ombuds' acts.</w:t>
      </w:r>
    </w:p>
    <w:p>
      <w:pPr>
        <w:spacing w:before="0" w:after="0" w:line="408" w:lineRule="exact"/>
        <w:ind w:left="0" w:right="0" w:firstLine="576"/>
        <w:jc w:val="left"/>
      </w:pPr>
      <w:r>
        <w:rPr/>
        <w:t xml:space="preserve">(2) For the purposes of this section, "identifying information" includes the complainant's or witness's name, location, telephone number, likeness, social security number or other identification number, or identification of immediate family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privilege described in section 9 of this act does not apply when:</w:t>
      </w:r>
    </w:p>
    <w:p>
      <w:pPr>
        <w:spacing w:before="0" w:after="0" w:line="408" w:lineRule="exact"/>
        <w:ind w:left="0" w:right="0" w:firstLine="576"/>
        <w:jc w:val="left"/>
      </w:pPr>
      <w:r>
        <w:rPr/>
        <w:t xml:space="preserve">(1) The ombuds or ombuds' staff member has direct knowledge of an alleged crime, and the testimony, evidence, or discovery sought is relevant to that allegation;</w:t>
      </w:r>
    </w:p>
    <w:p>
      <w:pPr>
        <w:spacing w:before="0" w:after="0" w:line="408" w:lineRule="exact"/>
        <w:ind w:left="0" w:right="0" w:firstLine="576"/>
        <w:jc w:val="left"/>
      </w:pPr>
      <w:r>
        <w:rPr/>
        <w:t xml:space="preserve">(2) The ombuds or a member of the ombuds' staff has received a threat of, or becomes aware of a risk of, imminent serious harm to any person, and the testimony, evidence, or discovery sought is relevant to that threat or risk; or</w:t>
      </w:r>
    </w:p>
    <w:p>
      <w:pPr>
        <w:spacing w:before="0" w:after="0" w:line="408" w:lineRule="exact"/>
        <w:ind w:left="0" w:right="0" w:firstLine="576"/>
        <w:jc w:val="left"/>
      </w:pPr>
      <w:r>
        <w:rPr/>
        <w:t xml:space="preserve">(3) The ombuds has been asked to provide general information regarding the general operation of, or the general processes employed at, the ombuds'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16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contract for the services of one or more external consultants to evaluate the state's sentencing laws and practices. The consultant must have demonstrated experience in conducting significant research studies and demonstrated successful experience in evaluating sentencing systems or practices. The evaluation must include:</w:t>
      </w:r>
    </w:p>
    <w:p>
      <w:pPr>
        <w:spacing w:before="0" w:after="0" w:line="408" w:lineRule="exact"/>
        <w:ind w:left="0" w:right="0" w:firstLine="576"/>
        <w:jc w:val="left"/>
      </w:pPr>
      <w:r>
        <w:rPr/>
        <w:t xml:space="preserve">(a) Recommendations for changing and improving sentencing laws and practices to:</w:t>
      </w:r>
    </w:p>
    <w:p>
      <w:pPr>
        <w:spacing w:before="0" w:after="0" w:line="408" w:lineRule="exact"/>
        <w:ind w:left="0" w:right="0" w:firstLine="576"/>
        <w:jc w:val="left"/>
      </w:pPr>
      <w:r>
        <w:rPr/>
        <w:t xml:space="preserve">(i) Reduce complexity and implementation challenges;</w:t>
      </w:r>
    </w:p>
    <w:p>
      <w:pPr>
        <w:spacing w:before="0" w:after="0" w:line="408" w:lineRule="exact"/>
        <w:ind w:left="0" w:right="0" w:firstLine="576"/>
        <w:jc w:val="left"/>
      </w:pPr>
      <w:r>
        <w:rPr/>
        <w:t xml:space="preserve">(ii) Reduce unwarranted disparity;</w:t>
      </w:r>
    </w:p>
    <w:p>
      <w:pPr>
        <w:spacing w:before="0" w:after="0" w:line="408" w:lineRule="exact"/>
        <w:ind w:left="0" w:right="0" w:firstLine="576"/>
        <w:jc w:val="left"/>
      </w:pPr>
      <w:r>
        <w:rPr/>
        <w:t xml:space="preserve">(iii) Increase postconviction review;</w:t>
      </w:r>
    </w:p>
    <w:p>
      <w:pPr>
        <w:spacing w:before="0" w:after="0" w:line="408" w:lineRule="exact"/>
        <w:ind w:left="0" w:right="0" w:firstLine="576"/>
        <w:jc w:val="left"/>
      </w:pPr>
      <w:r>
        <w:rPr/>
        <w:t xml:space="preserve">(iv) Reduce costs to taxpayers;</w:t>
      </w:r>
    </w:p>
    <w:p>
      <w:pPr>
        <w:spacing w:before="0" w:after="0" w:line="408" w:lineRule="exact"/>
        <w:ind w:left="0" w:right="0" w:firstLine="576"/>
        <w:jc w:val="left"/>
      </w:pPr>
      <w:r>
        <w:rPr/>
        <w:t xml:space="preserve">(v) Promote fairness and equity;</w:t>
      </w:r>
    </w:p>
    <w:p>
      <w:pPr>
        <w:spacing w:before="0" w:after="0" w:line="408" w:lineRule="exact"/>
        <w:ind w:left="0" w:right="0" w:firstLine="576"/>
        <w:jc w:val="left"/>
      </w:pPr>
      <w:r>
        <w:rPr/>
        <w:t xml:space="preserve">(vi) Reduce unintended and unnecessary impacts on the community; and</w:t>
      </w:r>
    </w:p>
    <w:p>
      <w:pPr>
        <w:spacing w:before="0" w:after="0" w:line="408" w:lineRule="exact"/>
        <w:ind w:left="0" w:right="0" w:firstLine="576"/>
        <w:jc w:val="left"/>
      </w:pPr>
      <w:r>
        <w:rPr/>
        <w:t xml:space="preserve">(vii) Achieve the intended purposes of sentencing as set forth in RCW 9.94A.010;</w:t>
      </w:r>
    </w:p>
    <w:p>
      <w:pPr>
        <w:spacing w:before="0" w:after="0" w:line="408" w:lineRule="exact"/>
        <w:ind w:left="0" w:right="0" w:firstLine="576"/>
        <w:jc w:val="left"/>
      </w:pPr>
      <w:r>
        <w:rPr/>
        <w:t xml:space="preserve">(b) Recommendations for:</w:t>
      </w:r>
    </w:p>
    <w:p>
      <w:pPr>
        <w:spacing w:before="0" w:after="0" w:line="408" w:lineRule="exact"/>
        <w:ind w:left="0" w:right="0" w:firstLine="576"/>
        <w:jc w:val="left"/>
      </w:pPr>
      <w:r>
        <w:rPr/>
        <w:t xml:space="preserve">(i) A phased prospective and retroactive implementation of any proposed changes; and</w:t>
      </w:r>
    </w:p>
    <w:p>
      <w:pPr>
        <w:spacing w:before="0" w:after="0" w:line="408" w:lineRule="exact"/>
        <w:ind w:left="0" w:right="0" w:firstLine="576"/>
        <w:jc w:val="left"/>
      </w:pPr>
      <w:r>
        <w:rPr/>
        <w:t xml:space="preserve">(ii) Establishing an ongoing review of sentencing laws and practices; and</w:t>
      </w:r>
    </w:p>
    <w:p>
      <w:pPr>
        <w:spacing w:before="0" w:after="0" w:line="408" w:lineRule="exact"/>
        <w:ind w:left="0" w:right="0" w:firstLine="576"/>
        <w:jc w:val="left"/>
      </w:pPr>
      <w:r>
        <w:rPr/>
        <w:t xml:space="preserve">(c) An assessment of:</w:t>
      </w:r>
    </w:p>
    <w:p>
      <w:pPr>
        <w:spacing w:before="0" w:after="0" w:line="408" w:lineRule="exact"/>
        <w:ind w:left="0" w:right="0" w:firstLine="576"/>
        <w:jc w:val="left"/>
      </w:pPr>
      <w:r>
        <w:rPr/>
        <w:t xml:space="preserve">(i) Sentence lengths among different categories of offenders;</w:t>
      </w:r>
    </w:p>
    <w:p>
      <w:pPr>
        <w:spacing w:before="0" w:after="0" w:line="408" w:lineRule="exact"/>
        <w:ind w:left="0" w:right="0" w:firstLine="576"/>
        <w:jc w:val="left"/>
      </w:pPr>
      <w:r>
        <w:rPr/>
        <w:t xml:space="preserve">(ii) Whether those sentences conform to current research literature on the relationship between sentence lengths and recidivism;</w:t>
      </w:r>
    </w:p>
    <w:p>
      <w:pPr>
        <w:spacing w:before="0" w:after="0" w:line="408" w:lineRule="exact"/>
        <w:ind w:left="0" w:right="0" w:firstLine="576"/>
        <w:jc w:val="left"/>
      </w:pPr>
      <w:r>
        <w:rPr/>
        <w:t xml:space="preserve">(iii) Sentencing changes adopted by the legislature since 1981, including frequency, nature, and impact;</w:t>
      </w:r>
    </w:p>
    <w:p>
      <w:pPr>
        <w:spacing w:before="0" w:after="0" w:line="408" w:lineRule="exact"/>
        <w:ind w:left="0" w:right="0" w:firstLine="576"/>
        <w:jc w:val="left"/>
      </w:pPr>
      <w:r>
        <w:rPr/>
        <w:t xml:space="preserve">(iv) Disparity in sentencing laws between similarly situated offenders, including the rationale for such disparities;</w:t>
      </w:r>
    </w:p>
    <w:p>
      <w:pPr>
        <w:spacing w:before="0" w:after="0" w:line="408" w:lineRule="exact"/>
        <w:ind w:left="0" w:right="0" w:firstLine="576"/>
        <w:jc w:val="left"/>
      </w:pPr>
      <w:r>
        <w:rPr/>
        <w:t xml:space="preserve">(v) The impact of the elimination of the parole system; and</w:t>
      </w:r>
    </w:p>
    <w:p>
      <w:pPr>
        <w:spacing w:before="0" w:after="0" w:line="408" w:lineRule="exact"/>
        <w:ind w:left="0" w:right="0" w:firstLine="576"/>
        <w:jc w:val="left"/>
      </w:pPr>
      <w:r>
        <w:rPr/>
        <w:t xml:space="preserve">(vi) The state's sentencing laws and practices as compared to other states and other sentencing models.</w:t>
      </w:r>
    </w:p>
    <w:p>
      <w:pPr>
        <w:spacing w:before="0" w:after="0" w:line="408" w:lineRule="exact"/>
        <w:ind w:left="0" w:right="0" w:firstLine="576"/>
        <w:jc w:val="left"/>
      </w:pPr>
      <w:r>
        <w:rPr/>
        <w:t xml:space="preserve">(2) The consultant shall work cooperatively with the sentencing guidelines commission members to obtain any additional recommendations or input consistent with the purposes of this section. Recommendations from the sentencing guidelines commission shall be included in the consultant's final report.</w:t>
      </w:r>
    </w:p>
    <w:p>
      <w:pPr>
        <w:spacing w:before="0" w:after="0" w:line="408" w:lineRule="exact"/>
        <w:ind w:left="0" w:right="0" w:firstLine="576"/>
        <w:jc w:val="left"/>
      </w:pPr>
      <w:r>
        <w:rPr/>
        <w:t xml:space="preserve">(3) The consultant may request data and information needed to accomplish its work from the office of financial management, the caseload forecast council, the administrative office of the courts, the department of corrections, and the department of social and health services, and such data and information must be provided to the consultant.</w:t>
      </w:r>
    </w:p>
    <w:p>
      <w:pPr>
        <w:spacing w:before="0" w:after="0" w:line="408" w:lineRule="exact"/>
        <w:ind w:left="0" w:right="0" w:firstLine="576"/>
        <w:jc w:val="left"/>
      </w:pPr>
      <w:r>
        <w:rPr/>
        <w:t xml:space="preserve">(4) The consultant shall complete its evaluation and submit a report to the commission, the joint legislative task force on criminal sentencing under section 20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(5)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to simplify criminal sentencing is established.</w:t>
      </w:r>
    </w:p>
    <w:p>
      <w:pPr>
        <w:spacing w:before="0" w:after="0" w:line="408" w:lineRule="exact"/>
        <w:ind w:left="0" w:right="0" w:firstLine="576"/>
        <w:jc w:val="left"/>
      </w:pPr>
      <w:r>
        <w:rPr/>
        <w:t xml:space="preserve">(2) The task force is composed of seventeen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one member representing each of the following:</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for the courts.</w:t>
      </w:r>
    </w:p>
    <w:p>
      <w:pPr>
        <w:spacing w:before="0" w:after="0" w:line="408" w:lineRule="exact"/>
        <w:ind w:left="0" w:right="0" w:firstLine="576"/>
        <w:jc w:val="left"/>
      </w:pPr>
      <w:r>
        <w:rPr/>
        <w:t xml:space="preserve">(3) The task force shall review sentencing laws after consideration of the study under section 19 of this act and the consultant's recommendations. The task force shall develop recommendations to reduce sentencing implementation complexities and errors, improve the effectiveness of the sentencing system, and promote public safety. The task force must consider recommendations that:</w:t>
      </w:r>
    </w:p>
    <w:p>
      <w:pPr>
        <w:spacing w:before="0" w:after="0" w:line="408" w:lineRule="exact"/>
        <w:ind w:left="0" w:right="0" w:firstLine="576"/>
        <w:jc w:val="left"/>
      </w:pPr>
      <w:r>
        <w:rPr/>
        <w:t xml:space="preserve">(a) Reduce sentencing complexity while reducing punishment;</w:t>
      </w:r>
    </w:p>
    <w:p>
      <w:pPr>
        <w:spacing w:before="0" w:after="0" w:line="408" w:lineRule="exact"/>
        <w:ind w:left="0" w:right="0" w:firstLine="576"/>
        <w:jc w:val="left"/>
      </w:pPr>
      <w:r>
        <w:rPr/>
        <w:t xml:space="preserve">(b) Reduce sentencing complexity while increasing punishment; and</w:t>
      </w:r>
    </w:p>
    <w:p>
      <w:pPr>
        <w:spacing w:before="0" w:after="0" w:line="408" w:lineRule="exact"/>
        <w:ind w:left="0" w:right="0" w:firstLine="576"/>
        <w:jc w:val="left"/>
      </w:pPr>
      <w:r>
        <w:rPr/>
        <w:t xml:space="preserve">(c) Reduce sentencing complexity and do not either reduce or increase punishment under existing law.</w:t>
      </w:r>
    </w:p>
    <w:p>
      <w:pPr>
        <w:spacing w:before="0" w:after="0" w:line="408" w:lineRule="exact"/>
        <w:ind w:left="0" w:right="0" w:firstLine="576"/>
        <w:jc w:val="left"/>
      </w:pPr>
      <w:r>
        <w:rPr/>
        <w:t xml:space="preserve">(4) The legislative membership shall convene the initial meeting of the task force to receive the report from the consultant under section 19 of this act no later than September 30, 2018. The legislative members shall choose the task force's cochairs, which must include one senator and one representative from among the legislative membership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The task force shall submit a report, which may include findings, recommendations, and proposed legislation, to the governor and the appropriate committees of the legislature by December 1, 2019.</w:t>
      </w:r>
    </w:p>
    <w:p>
      <w:pPr>
        <w:spacing w:before="0" w:after="0" w:line="408" w:lineRule="exact"/>
        <w:ind w:left="0" w:right="0" w:firstLine="576"/>
        <w:jc w:val="left"/>
      </w:pPr>
      <w:r>
        <w:rPr/>
        <w:t xml:space="preserve">(6) The task force may request data, information, and other assistance needed to accomplish its work from the office of financial management, the caseload forecast council, the administrative office of the courts, the department of corrections, and the department of social and health services, and such data, information, and assistance must be provided to the task force.</w:t>
      </w:r>
    </w:p>
    <w:p>
      <w:pPr>
        <w:spacing w:before="0" w:after="0" w:line="408" w:lineRule="exact"/>
        <w:ind w:left="0" w:right="0" w:firstLine="576"/>
        <w:jc w:val="left"/>
      </w:pPr>
      <w:r>
        <w:rPr/>
        <w:t xml:space="preserve">(7) Staff support for the task force must be provided by the senate committee services and the house office of program research.</w:t>
      </w:r>
    </w:p>
    <w:p>
      <w:pPr>
        <w:spacing w:before="0" w:after="0" w:line="408" w:lineRule="exact"/>
        <w:ind w:left="0" w:right="0" w:firstLine="576"/>
        <w:jc w:val="left"/>
      </w:pPr>
      <w:r>
        <w:rPr/>
        <w:t xml:space="preserve">(8)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(10) This section expires December 31, 2019.</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210</w:t>
      </w:r>
      <w:r>
        <w:rPr/>
        <w:t xml:space="preserve"> and 2011 1st sp.s. c 42 s 25 are each amended to read as follows:</w:t>
      </w:r>
    </w:p>
    <w:p>
      <w:pPr>
        <w:spacing w:before="0" w:after="0" w:line="408" w:lineRule="exact"/>
        <w:ind w:left="0" w:right="0" w:firstLine="576"/>
        <w:jc w:val="left"/>
      </w:pPr>
      <w:r>
        <w:rPr/>
        <w:t xml:space="preserve">(1) It is an unfair practice for any employer, employment agency, labor union, or other person to discharge, expel, or otherwise discriminate against any person because he or she has opposed any practices forbidden by this chapter, or because he or she has filed a charge, testified, or assisted in any proceeding under this chapter.</w:t>
      </w:r>
    </w:p>
    <w:p>
      <w:pPr>
        <w:spacing w:before="0" w:after="0" w:line="408" w:lineRule="exact"/>
        <w:ind w:left="0" w:right="0" w:firstLine="576"/>
        <w:jc w:val="left"/>
      </w:pPr>
      <w:r>
        <w:rPr/>
        <w:t xml:space="preserve">(2)</w:t>
      </w:r>
      <w:r>
        <w:rPr>
          <w:u w:val="single"/>
        </w:rPr>
        <w:t xml:space="preserve">(a)</w:t>
      </w:r>
      <w:r>
        <w:rPr/>
        <w:t xml:space="preserve"> It is an unfair practice for a government agency or government manager or supervisor to retaliate against a whistleblower as defined in chapter 42.40 RCW.</w:t>
      </w:r>
    </w:p>
    <w:p>
      <w:pPr>
        <w:spacing w:before="0" w:after="0" w:line="408" w:lineRule="exact"/>
        <w:ind w:left="0" w:right="0" w:firstLine="576"/>
        <w:jc w:val="left"/>
      </w:pPr>
      <w:r>
        <w:rPr>
          <w:u w:val="single"/>
        </w:rPr>
        <w:t xml:space="preserve">(b) A settlement of any cause of action brought by an employee under this subsection may not contain a provision prohibiting the employee from future work in state government unless the government agency has a significant ongoing concern for the public health, safety, or welfare as a result of the person's future employment</w:t>
      </w:r>
      <w:r>
        <w:rPr>
          <w:u w:val="single"/>
        </w:rPr>
        <w:t xml:space="preserve">.</w:t>
      </w:r>
    </w:p>
    <w:p>
      <w:pPr>
        <w:spacing w:before="0" w:after="0" w:line="408" w:lineRule="exact"/>
        <w:ind w:left="0" w:right="0" w:firstLine="576"/>
        <w:jc w:val="left"/>
      </w:pPr>
      <w:r>
        <w:rPr/>
        <w:t xml:space="preserve">(3) It is an unfair practice for any employer, employment agency, labor union, government agency, government manager, or government supervisor to discharge, expel, discriminate, or otherwise retaliate against an individual assisting with an office of fraud and accountability investigation under RCW 74.04.012, unless the individual has willfully disregarded the truth in providing information to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16 through 18 of this act apply to sentences imposed on or after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July 1, 2018.</w:t>
      </w:r>
    </w:p>
    <w:p/>
    <w:p>
      <w:pPr>
        <w:jc w:val="center"/>
      </w:pPr>
      <w:r>
        <w:rPr>
          <w:b/>
        </w:rPr>
        <w:t>--- END ---</w:t>
      </w:r>
    </w:p>
    <w:sectPr>
      <w:pgNumType w:start="1"/>
      <w:footerReference xmlns:r="http://schemas.openxmlformats.org/officeDocument/2006/relationships" r:id="R8b91e2691dbf41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96e5616b884e49" /><Relationship Type="http://schemas.openxmlformats.org/officeDocument/2006/relationships/footer" Target="/word/footer.xml" Id="R8b91e2691dbf4170" /></Relationships>
</file>