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1b9393115c4cab" /></Relationships>
</file>

<file path=word/document.xml><?xml version="1.0" encoding="utf-8"?>
<w:document xmlns:w="http://schemas.openxmlformats.org/wordprocessingml/2006/main">
  <w:body>
    <w:p>
      <w:r>
        <w:t>S-2841.2</w:t>
      </w:r>
    </w:p>
    <w:p>
      <w:pPr>
        <w:jc w:val="center"/>
      </w:pPr>
      <w:r>
        <w:t>_______________________________________________</w:t>
      </w:r>
    </w:p>
    <w:p/>
    <w:p>
      <w:pPr>
        <w:jc w:val="center"/>
      </w:pPr>
      <w:r>
        <w:rPr>
          <w:b/>
        </w:rPr>
        <w:t>SENATE BILL 5952</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Senators Padden and O'Ban</w:t>
      </w:r>
    </w:p>
    <w:p/>
    <w:p>
      <w:r>
        <w:rPr>
          <w:t xml:space="preserve">Read first time 06/16/17.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department of corrections early release error; amending RCW 72.09.010, 9.94A.480, 9.94A.585, and 49.60.210; adding new sections to chapter 72.09 RCW; adding a new section to chapter 9.94A RCW; adding a new chapter to Title 43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serious allegations arose in 2016 against the department of corrections regarding the department's early release error. The governor's office and senate engaged in investigations that resulted in reports with recommendations to address the matter. The purpose of this act is to implement the legislative recommendations contained in those reports. These reforms will assist in strengthening public safety as well as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r>
        <w:rPr/>
        <w:t xml:space="preserve">.</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corrections ombuds is created for the purpose of providing information to inmates, family members, representatives of inmates, department employees, and others regarding the rights of inmates; providing technical assistance to support inmate self-advocacy; identifying systemic issues and responses for the governor and the legislature to act upon; reporting to the legislature; and ensuring compliance with relevant statutes, rules, and policies pertaining to conditions of correctional facilities, services, and treatment of inmates under the jurisdiction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the ombuds' performance, including its compliance with its internal bylaws and other adopted standards of practice, reporting to the governor and the legislature regarding its findings. The council must provide the legislature with recommendations regarding the ombuds budget and changes in the law that would enhance the effectiveness of the ombuds.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majority leader and minority leader in the senate shall appoint one member from each of their respective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remaining council members consist of the following members, appointed by the governor, and subject to senate confirmation:</w:t>
      </w:r>
    </w:p>
    <w:p>
      <w:pPr>
        <w:spacing w:before="0" w:after="0" w:line="408" w:lineRule="exact"/>
        <w:ind w:left="0" w:right="0" w:firstLine="576"/>
        <w:jc w:val="left"/>
      </w:pPr>
      <w:r>
        <w:rPr/>
        <w:t xml:space="preserve">(a) Two former inmates who have successfully reintegrated into the community and are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Two former department of corrections employees;</w:t>
      </w:r>
    </w:p>
    <w:p>
      <w:pPr>
        <w:spacing w:before="0" w:after="0" w:line="408" w:lineRule="exact"/>
        <w:ind w:left="0" w:right="0" w:firstLine="576"/>
        <w:jc w:val="left"/>
      </w:pPr>
      <w:r>
        <w:rPr/>
        <w:t xml:space="preserve">(g) A current department of corrections chaplain; and</w:t>
      </w:r>
    </w:p>
    <w:p>
      <w:pPr>
        <w:spacing w:before="0" w:after="0" w:line="408" w:lineRule="exact"/>
        <w:ind w:left="0" w:right="0" w:firstLine="576"/>
        <w:jc w:val="left"/>
      </w:pPr>
      <w:r>
        <w:rPr/>
        <w:t xml:space="preserve">(h) A community member with dispute resolution training who has experience working in the criminal justice or corrections field.</w:t>
      </w:r>
    </w:p>
    <w:p>
      <w:pPr>
        <w:spacing w:before="0" w:after="0" w:line="408" w:lineRule="exact"/>
        <w:ind w:left="0" w:right="0" w:firstLine="576"/>
        <w:jc w:val="left"/>
      </w:pPr>
      <w:r>
        <w:rPr/>
        <w:t xml:space="preserve">(4) The council also includes:</w:t>
      </w:r>
    </w:p>
    <w:p>
      <w:pPr>
        <w:spacing w:before="0" w:after="0" w:line="408" w:lineRule="exact"/>
        <w:ind w:left="0" w:right="0" w:firstLine="576"/>
        <w:jc w:val="left"/>
      </w:pPr>
      <w:r>
        <w:rPr/>
        <w:t xml:space="preserve">(a) The department staff serving as the internal ombuds, if any;</w:t>
      </w:r>
    </w:p>
    <w:p>
      <w:pPr>
        <w:spacing w:before="0" w:after="0" w:line="408" w:lineRule="exact"/>
        <w:ind w:left="0" w:right="0" w:firstLine="576"/>
        <w:jc w:val="left"/>
      </w:pPr>
      <w:r>
        <w:rPr/>
        <w:t xml:space="preserve">(b) A bargaining unit representative; and</w:t>
      </w:r>
    </w:p>
    <w:p>
      <w:pPr>
        <w:spacing w:before="0" w:after="0" w:line="408" w:lineRule="exact"/>
        <w:ind w:left="0" w:right="0" w:firstLine="576"/>
        <w:jc w:val="left"/>
      </w:pPr>
      <w:r>
        <w:rPr/>
        <w:t xml:space="preserve">(c) A representative of the governor's office.</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 The council must meet at least once a year.</w:t>
      </w:r>
    </w:p>
    <w:p>
      <w:pPr>
        <w:spacing w:before="0" w:after="0" w:line="408" w:lineRule="exact"/>
        <w:ind w:left="0" w:right="0" w:firstLine="576"/>
        <w:jc w:val="left"/>
      </w:pPr>
      <w:r>
        <w:rPr/>
        <w:t xml:space="preserve">(6) Councilmembers serve a term of two years, except that the council shall create and implement a system of staggered terms, and no member other than the department staff serving as the internal ombuds may serve more than two consecutive terms. The council shall convene at least quarterly. Councilmembers serve without compensation, except that funds appropriated for the implementation of this chapter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shall designate, by a competitive bidding process, the nonprofit organization that will contract to operate the office of the corrections ombuds. The contract must last for a period of two years and may be renewed at the end of the term. The department of commerce shall select an organization that possesses, directly or through subcontracts, significant legal expertise, competence with mediation and alternative dispute resolution, and experience working within criminal justice and correctional environments. Other relevant experience may include, but is not limited to, addressing issues relating to chemical dependency treatment, disability and disability-related accommodation, respect for racial, ethnic, and religious diversity, and other civil rights and conditions issues. The selected organization must have experience and the capacity to communicate effectively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organization must be an objective and neutral entity that will impartially investigate complaints.</w:t>
      </w:r>
    </w:p>
    <w:p>
      <w:pPr>
        <w:spacing w:before="0" w:after="0" w:line="408" w:lineRule="exact"/>
        <w:ind w:left="0" w:right="0" w:firstLine="576"/>
        <w:jc w:val="left"/>
      </w:pPr>
      <w:r>
        <w:rPr/>
        <w:t xml:space="preserve">(4) The organization is subject to financial and other audits by the state auditor's office, and its employees must abide by the provisions of chapter 42.52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chapter;</w:t>
      </w:r>
    </w:p>
    <w:p>
      <w:pPr>
        <w:spacing w:before="0" w:after="0" w:line="408" w:lineRule="exact"/>
        <w:ind w:left="0" w:right="0" w:firstLine="576"/>
        <w:jc w:val="left"/>
      </w:pPr>
      <w:r>
        <w:rPr/>
        <w:t xml:space="preserve">(b) Develop policies for responding to records requests from the public. These policies shall be similar in scope to the requirements in the public records act except that identifying information about complainants or witnesses must be protected and nondisclosable unless the complainant or witness waives confidentiality;</w:t>
      </w:r>
    </w:p>
    <w:p>
      <w:pPr>
        <w:spacing w:before="0" w:after="0" w:line="408" w:lineRule="exact"/>
        <w:ind w:left="0" w:right="0" w:firstLine="576"/>
        <w:jc w:val="left"/>
      </w:pPr>
      <w:r>
        <w:rPr/>
        <w:t xml:space="preserve">(c)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(d)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(e) Provide technical assistance to support inmate participation in self-advocacy;</w:t>
      </w:r>
    </w:p>
    <w:p>
      <w:pPr>
        <w:spacing w:before="0" w:after="0" w:line="408" w:lineRule="exact"/>
        <w:ind w:left="0" w:right="0" w:firstLine="576"/>
        <w:jc w:val="left"/>
      </w:pPr>
      <w:r>
        <w:rPr/>
        <w:t xml:space="preserve">(f) Monitor department compliance with applicable federal, state, and local laws, rules, regulations, and policies with a view toward the appropriate health, safety, welfare, and rehabilitation of inmates;</w:t>
      </w:r>
    </w:p>
    <w:p>
      <w:pPr>
        <w:spacing w:before="0" w:after="0" w:line="408" w:lineRule="exact"/>
        <w:ind w:left="0" w:right="0" w:firstLine="576"/>
        <w:jc w:val="left"/>
      </w:pPr>
      <w:r>
        <w:rPr/>
        <w:t xml:space="preserve">(g) Monitor and participate in legislative and policy developments affecting correctional facilities;</w:t>
      </w:r>
    </w:p>
    <w:p>
      <w:pPr>
        <w:spacing w:before="0" w:after="0" w:line="408" w:lineRule="exact"/>
        <w:ind w:left="0" w:right="0" w:firstLine="576"/>
        <w:jc w:val="left"/>
      </w:pPr>
      <w:r>
        <w:rPr/>
        <w:t xml:space="preserve">(h) Establish a statewide uniform reporting system to collect and analyze data related to complaints regarding the department;</w:t>
      </w:r>
    </w:p>
    <w:p>
      <w:pPr>
        <w:spacing w:before="0" w:after="0" w:line="408" w:lineRule="exact"/>
        <w:ind w:left="0" w:right="0" w:firstLine="576"/>
        <w:jc w:val="left"/>
      </w:pPr>
      <w:r>
        <w:rPr/>
        <w:t xml:space="preserve">(i) Establish procedures to receive, investigate, and resolve complaints;</w:t>
      </w:r>
    </w:p>
    <w:p>
      <w:pPr>
        <w:spacing w:before="0" w:after="0" w:line="408" w:lineRule="exact"/>
        <w:ind w:left="0" w:right="0" w:firstLine="576"/>
        <w:jc w:val="left"/>
      </w:pPr>
      <w:r>
        <w:rPr/>
        <w:t xml:space="preserve">(j) Submit annually to the council, the governor's office, and the legislature, by November 1st of each year, a report analyzing the work of the office, including any recommendations;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(g) The ombuds may refer complainants and others to appropriate resources, agencies, or departments.</w:t>
      </w:r>
    </w:p>
    <w:p>
      <w:pPr>
        <w:spacing w:before="0" w:after="0" w:line="408" w:lineRule="exact"/>
        <w:ind w:left="0" w:right="0" w:firstLine="576"/>
        <w:jc w:val="left"/>
      </w:pPr>
      <w:r>
        <w:rPr/>
        <w:t xml:space="preserve">(h) The ombuds may not levy any fees for the submission or investigation of complaints.</w:t>
      </w:r>
    </w:p>
    <w:p>
      <w:pPr>
        <w:spacing w:before="0" w:after="0" w:line="408" w:lineRule="exact"/>
        <w:ind w:left="0" w:right="0" w:firstLine="576"/>
        <w:jc w:val="left"/>
      </w:pPr>
      <w:r>
        <w:rPr/>
        <w:t xml:space="preserve">(i)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(j)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(k)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(l)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t>
      </w:r>
      <w:r>
        <w:rPr/>
        <w:t xml:space="preserve">department must permit the ombuds to enter and inspect, at any reasonable time, any correctional facility for the purpose of carrying out its duties under this chapter. The ombuds may inspect, view, photograph, and video record all areas of the facility that are used by inmates or are accessible to inmates. Before releasing any photographs or video recordings taken within a correctional facility, the ombuds must consult with the department concerning any safety or security issues.</w:t>
      </w:r>
    </w:p>
    <w:p>
      <w:pPr>
        <w:spacing w:before="0" w:after="0" w:line="408" w:lineRule="exact"/>
        <w:ind w:left="0" w:right="0" w:firstLine="576"/>
        <w:jc w:val="left"/>
      </w:pPr>
      <w:r>
        <w:rPr/>
        <w:t xml:space="preserve">(2) The department must allow the ombuds reasonable access to:</w:t>
      </w:r>
    </w:p>
    <w:p>
      <w:pPr>
        <w:spacing w:before="0" w:after="0" w:line="408" w:lineRule="exact"/>
        <w:ind w:left="0" w:right="0" w:firstLine="576"/>
        <w:jc w:val="left"/>
      </w:pPr>
      <w:r>
        <w:rPr/>
        <w:t xml:space="preserve">(a) Inmates, which includes the opportunity to meet and communicate privately and confidentially with individuals regularly, both formally and informally, by telephone, mail, and in person; and</w:t>
      </w:r>
    </w:p>
    <w:p>
      <w:pPr>
        <w:spacing w:before="0" w:after="0" w:line="408" w:lineRule="exact"/>
        <w:ind w:left="0" w:right="0" w:firstLine="576"/>
        <w:jc w:val="left"/>
      </w:pPr>
      <w:r>
        <w:rPr/>
        <w:t xml:space="preserve">(b) Department employees, or other persons, who might be reasonably believed to have knowledge of the incident under investigation, which includes the opportunity to interview those individuals.</w:t>
      </w:r>
    </w:p>
    <w:p>
      <w:pPr>
        <w:spacing w:before="0" w:after="0" w:line="408" w:lineRule="exact"/>
        <w:ind w:left="0" w:right="0" w:firstLine="576"/>
        <w:jc w:val="left"/>
      </w:pPr>
      <w:r>
        <w:rPr/>
        <w:t xml:space="preserve">(3) Upon the ombuds' request, the department shall grant the ombuds the right to access, inspect, and copy all relevant information, records, or documents in the possession or control of the department that the ombuds considers necessary in an investigation of a complaint filed under this chapter, and must assist the ombuds in obtaining the necessary releases of documents that are specifically restricted or privileged for use by the ombuds.</w:t>
      </w:r>
    </w:p>
    <w:p>
      <w:pPr>
        <w:spacing w:before="0" w:after="0" w:line="408" w:lineRule="exact"/>
        <w:ind w:left="0" w:right="0" w:firstLine="576"/>
        <w:jc w:val="left"/>
      </w:pPr>
      <w:r>
        <w:rPr/>
        <w:t xml:space="preserve">(4) Following notification from the ombuds with a written demand for access to agency records, the delegated department staff must provide the ombuds with access to the requested documentation not later than twenty business days after the ombuds' written request for the records.</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(6)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these processes do not impede the activities outlined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 performance audit of the information technology and records related units at the department of corrections, including:</w:t>
      </w:r>
    </w:p>
    <w:p>
      <w:pPr>
        <w:spacing w:before="0" w:after="0" w:line="408" w:lineRule="exact"/>
        <w:ind w:left="0" w:right="0" w:firstLine="576"/>
        <w:jc w:val="left"/>
      </w:pPr>
      <w:r>
        <w:rPr/>
        <w:t xml:space="preserve">(a) The administrative structure of the units, including whether the units should be restructured to respond efficiently to changes in sentencing laws and other emergent issues;</w:t>
      </w:r>
    </w:p>
    <w:p>
      <w:pPr>
        <w:spacing w:before="0" w:after="0" w:line="408" w:lineRule="exact"/>
        <w:ind w:left="0" w:right="0" w:firstLine="576"/>
        <w:jc w:val="left"/>
      </w:pPr>
      <w:r>
        <w:rPr/>
        <w:t xml:space="preserve">(b) The sufficiency of staffing levels and expertise at each of the units; and</w:t>
      </w:r>
    </w:p>
    <w:p>
      <w:pPr>
        <w:spacing w:before="0" w:after="0" w:line="408" w:lineRule="exact"/>
        <w:ind w:left="0" w:right="0" w:firstLine="576"/>
        <w:jc w:val="left"/>
      </w:pPr>
      <w:r>
        <w:rPr/>
        <w:t xml:space="preserve">(c) An evaluation of the advance corrections project's impact on workload and staff resources at each of the units.</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administrative office of the courts, superior court judges' association, Washington association of prosecuting attorneys, Washington association of criminal defense lawyers, Washington public defender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14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sentencing guidelines commission shall contract for the services of one or more external consultants to evaluate the state's sentencing laws and practices. The consultant must have demonstrated experience in conducting significant research studies and demonstrated successful experience in evaluating sentencing systems or practices. The evaluation must include:</w:t>
      </w:r>
    </w:p>
    <w:p>
      <w:pPr>
        <w:spacing w:before="0" w:after="0" w:line="408" w:lineRule="exact"/>
        <w:ind w:left="0" w:right="0" w:firstLine="576"/>
        <w:jc w:val="left"/>
      </w:pPr>
      <w:r>
        <w:rPr/>
        <w:t xml:space="preserve">(a) Recommendations for changing and improving sentencing laws and practices to:</w:t>
      </w:r>
    </w:p>
    <w:p>
      <w:pPr>
        <w:spacing w:before="0" w:after="0" w:line="408" w:lineRule="exact"/>
        <w:ind w:left="0" w:right="0" w:firstLine="576"/>
        <w:jc w:val="left"/>
      </w:pPr>
      <w:r>
        <w:rPr/>
        <w:t xml:space="preserve">(i) Reduce complexity and implementation challenges;</w:t>
      </w:r>
    </w:p>
    <w:p>
      <w:pPr>
        <w:spacing w:before="0" w:after="0" w:line="408" w:lineRule="exact"/>
        <w:ind w:left="0" w:right="0" w:firstLine="576"/>
        <w:jc w:val="left"/>
      </w:pPr>
      <w:r>
        <w:rPr/>
        <w:t xml:space="preserve">(ii) Reduce unwarranted disparity;</w:t>
      </w:r>
    </w:p>
    <w:p>
      <w:pPr>
        <w:spacing w:before="0" w:after="0" w:line="408" w:lineRule="exact"/>
        <w:ind w:left="0" w:right="0" w:firstLine="576"/>
        <w:jc w:val="left"/>
      </w:pPr>
      <w:r>
        <w:rPr/>
        <w:t xml:space="preserve">(iii) Increase postconviction review;</w:t>
      </w:r>
    </w:p>
    <w:p>
      <w:pPr>
        <w:spacing w:before="0" w:after="0" w:line="408" w:lineRule="exact"/>
        <w:ind w:left="0" w:right="0" w:firstLine="576"/>
        <w:jc w:val="left"/>
      </w:pPr>
      <w:r>
        <w:rPr/>
        <w:t xml:space="preserve">(iv) Reduce costs to taxpayers;</w:t>
      </w:r>
    </w:p>
    <w:p>
      <w:pPr>
        <w:spacing w:before="0" w:after="0" w:line="408" w:lineRule="exact"/>
        <w:ind w:left="0" w:right="0" w:firstLine="576"/>
        <w:jc w:val="left"/>
      </w:pPr>
      <w:r>
        <w:rPr/>
        <w:t xml:space="preserve">(v) Promote fairness and equity;</w:t>
      </w:r>
    </w:p>
    <w:p>
      <w:pPr>
        <w:spacing w:before="0" w:after="0" w:line="408" w:lineRule="exact"/>
        <w:ind w:left="0" w:right="0" w:firstLine="576"/>
        <w:jc w:val="left"/>
      </w:pPr>
      <w:r>
        <w:rPr/>
        <w:t xml:space="preserve">(vi) Reduce unintended and unnecessary impacts on the community; and</w:t>
      </w:r>
    </w:p>
    <w:p>
      <w:pPr>
        <w:spacing w:before="0" w:after="0" w:line="408" w:lineRule="exact"/>
        <w:ind w:left="0" w:right="0" w:firstLine="576"/>
        <w:jc w:val="left"/>
      </w:pPr>
      <w:r>
        <w:rPr/>
        <w:t xml:space="preserve">(vii) Achieve the intended purposes of sentencing as set forth in RCW 9.94A.010;</w:t>
      </w:r>
    </w:p>
    <w:p>
      <w:pPr>
        <w:spacing w:before="0" w:after="0" w:line="408" w:lineRule="exact"/>
        <w:ind w:left="0" w:right="0" w:firstLine="576"/>
        <w:jc w:val="left"/>
      </w:pPr>
      <w:r>
        <w:rPr/>
        <w:t xml:space="preserve">(b) Recommendations for:</w:t>
      </w:r>
    </w:p>
    <w:p>
      <w:pPr>
        <w:spacing w:before="0" w:after="0" w:line="408" w:lineRule="exact"/>
        <w:ind w:left="0" w:right="0" w:firstLine="576"/>
        <w:jc w:val="left"/>
      </w:pPr>
      <w:r>
        <w:rPr/>
        <w:t xml:space="preserve">(i) A phased prospective and retroactive implementation of any proposed changes; and</w:t>
      </w:r>
    </w:p>
    <w:p>
      <w:pPr>
        <w:spacing w:before="0" w:after="0" w:line="408" w:lineRule="exact"/>
        <w:ind w:left="0" w:right="0" w:firstLine="576"/>
        <w:jc w:val="left"/>
      </w:pPr>
      <w:r>
        <w:rPr/>
        <w:t xml:space="preserve">(ii) Establishing an ongoing review of sentencing laws and practices; and</w:t>
      </w:r>
    </w:p>
    <w:p>
      <w:pPr>
        <w:spacing w:before="0" w:after="0" w:line="408" w:lineRule="exact"/>
        <w:ind w:left="0" w:right="0" w:firstLine="576"/>
        <w:jc w:val="left"/>
      </w:pPr>
      <w:r>
        <w:rPr/>
        <w:t xml:space="preserve">(c) An assessment of:</w:t>
      </w:r>
    </w:p>
    <w:p>
      <w:pPr>
        <w:spacing w:before="0" w:after="0" w:line="408" w:lineRule="exact"/>
        <w:ind w:left="0" w:right="0" w:firstLine="576"/>
        <w:jc w:val="left"/>
      </w:pPr>
      <w:r>
        <w:rPr/>
        <w:t xml:space="preserve">(i) Sentence lengths among different categories of offenders;</w:t>
      </w:r>
    </w:p>
    <w:p>
      <w:pPr>
        <w:spacing w:before="0" w:after="0" w:line="408" w:lineRule="exact"/>
        <w:ind w:left="0" w:right="0" w:firstLine="576"/>
        <w:jc w:val="left"/>
      </w:pPr>
      <w:r>
        <w:rPr/>
        <w:t xml:space="preserve">(ii) Whether those sentences conform to current research literature on the relationship between sentence lengths and recidivism;</w:t>
      </w:r>
    </w:p>
    <w:p>
      <w:pPr>
        <w:spacing w:before="0" w:after="0" w:line="408" w:lineRule="exact"/>
        <w:ind w:left="0" w:right="0" w:firstLine="576"/>
        <w:jc w:val="left"/>
      </w:pPr>
      <w:r>
        <w:rPr/>
        <w:t xml:space="preserve">(iii) Sentencing changes adopted by the legislature since 1981, including frequency, nature, and impact;</w:t>
      </w:r>
    </w:p>
    <w:p>
      <w:pPr>
        <w:spacing w:before="0" w:after="0" w:line="408" w:lineRule="exact"/>
        <w:ind w:left="0" w:right="0" w:firstLine="576"/>
        <w:jc w:val="left"/>
      </w:pPr>
      <w:r>
        <w:rPr/>
        <w:t xml:space="preserve">(iv) Disparity in sentencing laws between similarly situated offenders, including the rationale for such disparities;</w:t>
      </w:r>
    </w:p>
    <w:p>
      <w:pPr>
        <w:spacing w:before="0" w:after="0" w:line="408" w:lineRule="exact"/>
        <w:ind w:left="0" w:right="0" w:firstLine="576"/>
        <w:jc w:val="left"/>
      </w:pPr>
      <w:r>
        <w:rPr/>
        <w:t xml:space="preserve">(v) The impact of the elimination of the parole system; and</w:t>
      </w:r>
    </w:p>
    <w:p>
      <w:pPr>
        <w:spacing w:before="0" w:after="0" w:line="408" w:lineRule="exact"/>
        <w:ind w:left="0" w:right="0" w:firstLine="576"/>
        <w:jc w:val="left"/>
      </w:pPr>
      <w:r>
        <w:rPr/>
        <w:t xml:space="preserve">(vi) The state's sentencing laws and practices as compared to other states and other sentencing models.</w:t>
      </w:r>
    </w:p>
    <w:p>
      <w:pPr>
        <w:spacing w:before="0" w:after="0" w:line="408" w:lineRule="exact"/>
        <w:ind w:left="0" w:right="0" w:firstLine="576"/>
        <w:jc w:val="left"/>
      </w:pPr>
      <w:r>
        <w:rPr/>
        <w:t xml:space="preserve">(2) The consultant shall work cooperatively with the sentencing guidelines commission members to obtain any additional recommendations or input consistent with the purposes of this section. Recommendations from the sentencing guidelines commission shall be included in the consultant's final report.</w:t>
      </w:r>
    </w:p>
    <w:p>
      <w:pPr>
        <w:spacing w:before="0" w:after="0" w:line="408" w:lineRule="exact"/>
        <w:ind w:left="0" w:right="0" w:firstLine="576"/>
        <w:jc w:val="left"/>
      </w:pPr>
      <w:r>
        <w:rPr/>
        <w:t xml:space="preserve">(3) The consultant shall complete its evaluation and submit a report to the commission, the joint legislative task force on criminal sentencing under section 18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to simplify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for the courts.</w:t>
      </w:r>
    </w:p>
    <w:p>
      <w:pPr>
        <w:spacing w:before="0" w:after="0" w:line="408" w:lineRule="exact"/>
        <w:ind w:left="0" w:right="0" w:firstLine="576"/>
        <w:jc w:val="left"/>
      </w:pPr>
      <w:r>
        <w:rPr/>
        <w:t xml:space="preserve">(3) The task force shall review sentencing laws after consideration of the study under section 17 of this act and the consultant's recommendations. The task force shall develop recommendations to reduce sentencing implementation complexities and errors, improve the effectiveness of the sentencing system, and promote public safety. The task force must consider recommendations that:</w:t>
      </w:r>
    </w:p>
    <w:p>
      <w:pPr>
        <w:spacing w:before="0" w:after="0" w:line="408" w:lineRule="exact"/>
        <w:ind w:left="0" w:right="0" w:firstLine="576"/>
        <w:jc w:val="left"/>
      </w:pPr>
      <w:r>
        <w:rPr/>
        <w:t xml:space="preserve">(a) Reduce sentencing complexity while reducing punishment;</w:t>
      </w:r>
    </w:p>
    <w:p>
      <w:pPr>
        <w:spacing w:before="0" w:after="0" w:line="408" w:lineRule="exact"/>
        <w:ind w:left="0" w:right="0" w:firstLine="576"/>
        <w:jc w:val="left"/>
      </w:pPr>
      <w:r>
        <w:rPr/>
        <w:t xml:space="preserve">(b) Reduce sentencing complexity while increasing punishment; and</w:t>
      </w:r>
    </w:p>
    <w:p>
      <w:pPr>
        <w:spacing w:before="0" w:after="0" w:line="408" w:lineRule="exact"/>
        <w:ind w:left="0" w:right="0" w:firstLine="576"/>
        <w:jc w:val="left"/>
      </w:pPr>
      <w:r>
        <w:rPr/>
        <w:t xml:space="preserve">(c) Reduce sentencing complexity and do not either reduce or increase punishment under existing law.</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task force shall submit a report, which may include findings, recommendations, and proposed legislation, to the appropriate committees of the legislature by December 1, 2019.</w:t>
      </w:r>
    </w:p>
    <w:p>
      <w:pPr>
        <w:spacing w:before="0" w:after="0" w:line="408" w:lineRule="exact"/>
        <w:ind w:left="0" w:right="0" w:firstLine="576"/>
        <w:jc w:val="left"/>
      </w:pPr>
      <w:r>
        <w:rPr/>
        <w:t xml:space="preserve">(6) Staff support for the task force must be provided by the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210</w:t>
      </w:r>
      <w:r>
        <w:rPr/>
        <w:t xml:space="preserve"> and 2011 1st sp.s. c 42 s 25 are each amended to read as follows:</w:t>
      </w:r>
    </w:p>
    <w:p>
      <w:pPr>
        <w:spacing w:before="0" w:after="0" w:line="408" w:lineRule="exact"/>
        <w:ind w:left="0" w:right="0" w:firstLine="576"/>
        <w:jc w:val="left"/>
      </w:pPr>
      <w:r>
        <w:rPr/>
        <w:t xml:space="preserve">(1) It is an unfair practice for any employer, employment agency, labor union, or other person to discharge, expel, or otherwise discriminate against any person because he or she has opposed any practices forbidden by this chapter, or because he or she has filed a charge, testified, or assisted in any proceeding under this chapter.</w:t>
      </w:r>
    </w:p>
    <w:p>
      <w:pPr>
        <w:spacing w:before="0" w:after="0" w:line="408" w:lineRule="exact"/>
        <w:ind w:left="0" w:right="0" w:firstLine="576"/>
        <w:jc w:val="left"/>
      </w:pPr>
      <w:r>
        <w:rPr/>
        <w:t xml:space="preserve">(2)</w:t>
      </w:r>
      <w:r>
        <w:rPr>
          <w:u w:val="single"/>
        </w:rPr>
        <w:t xml:space="preserve">(a)</w:t>
      </w:r>
      <w:r>
        <w:rPr/>
        <w:t xml:space="preserve"> It is an unfair practice for a government agency or government manager or supervisor to retaliate against a whistleblower as defined in chapter 42.40 RCW.</w:t>
      </w:r>
    </w:p>
    <w:p>
      <w:pPr>
        <w:spacing w:before="0" w:after="0" w:line="408" w:lineRule="exact"/>
        <w:ind w:left="0" w:right="0" w:firstLine="576"/>
        <w:jc w:val="left"/>
      </w:pPr>
      <w:r>
        <w:rPr>
          <w:u w:val="single"/>
        </w:rPr>
        <w:t xml:space="preserve">(b) A settlement of any cause of action brought by an employee under this subsection may not contain a provision prohibiting the employee from future work in state government unless the government agency has a significant ongoing concern for the public health, safety, or welfare as a result of the person's future employment</w:t>
      </w:r>
      <w:r>
        <w:rPr>
          <w:u w:val="single"/>
        </w:rPr>
        <w:t xml:space="preserve">.</w:t>
      </w:r>
    </w:p>
    <w:p>
      <w:pPr>
        <w:spacing w:before="0" w:after="0" w:line="408" w:lineRule="exact"/>
        <w:ind w:left="0" w:right="0" w:firstLine="576"/>
        <w:jc w:val="left"/>
      </w:pPr>
      <w:r>
        <w:rPr/>
        <w:t xml:space="preserve">(3) It is an unfair practice for any employer, employment agency, labor union, government agency, government manager, or government supervisor to discharge, expel, discriminate, or otherwise retaliate against an individual assisting with an office of fraud and accountability investigation under RCW 74.04.012, unless the individual has willfully disregarded the truth in providing information to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15, and 16 of this act apply to sentences imposed on or after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5121ce06ff24e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46499f3864f6e" /><Relationship Type="http://schemas.openxmlformats.org/officeDocument/2006/relationships/footer" Target="/word/footer.xml" Id="R05121ce06ff24e08" /></Relationships>
</file>