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33360b74fd4384" /></Relationships>
</file>

<file path=word/document.xml><?xml version="1.0" encoding="utf-8"?>
<w:document xmlns:w="http://schemas.openxmlformats.org/wordprocessingml/2006/main">
  <w:body>
    <w:p>
      <w:r>
        <w:t>S-2826.1</w:t>
      </w:r>
    </w:p>
    <w:p>
      <w:pPr>
        <w:jc w:val="center"/>
      </w:pPr>
      <w:r>
        <w:t>_______________________________________________</w:t>
      </w:r>
    </w:p>
    <w:p/>
    <w:p>
      <w:pPr>
        <w:jc w:val="center"/>
      </w:pPr>
      <w:r>
        <w:rPr>
          <w:b/>
        </w:rPr>
        <w:t>SENATE BILL 5954</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Senator Short</w:t>
      </w:r>
    </w:p>
    <w:p/>
    <w:p>
      <w:r>
        <w:rPr>
          <w:t xml:space="preserve">Read first time 06/16/17.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economic development element of the growth management act; amending RCW 36.70A.070; and adding a new section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c 331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may include the provisions in </w:t>
      </w:r>
      <w:r>
        <w:t>((</w:t>
      </w:r>
      <w:r>
        <w:rPr>
          <w:strike/>
        </w:rPr>
        <w:t xml:space="preserve">section 3 of this act</w:t>
      </w:r>
      <w:r>
        <w:t>))</w:t>
      </w:r>
      <w:r>
        <w:rPr/>
        <w:t xml:space="preserve"> </w:t>
      </w:r>
      <w:r>
        <w:rPr>
          <w:u w:val="single"/>
        </w:rPr>
        <w:t xml:space="preserve">section 2 of this act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economic development element required by RCW 36.70A.070(7) may include the following:</w:t>
      </w:r>
    </w:p>
    <w:p>
      <w:pPr>
        <w:spacing w:before="0" w:after="0" w:line="408" w:lineRule="exact"/>
        <w:ind w:left="0" w:right="0" w:firstLine="576"/>
        <w:jc w:val="left"/>
      </w:pPr>
      <w:r>
        <w:rPr/>
        <w:t xml:space="preserve">(a) A summary of the local economy, such as population, employment, payroll, sectors, businesses, sales, and other information as appropriate;</w:t>
      </w:r>
    </w:p>
    <w:p>
      <w:pPr>
        <w:spacing w:before="0" w:after="0" w:line="408" w:lineRule="exact"/>
        <w:ind w:left="0" w:right="0" w:firstLine="576"/>
        <w:jc w:val="left"/>
      </w:pPr>
      <w:r>
        <w:rPr/>
        <w:t xml:space="preserve">(b) A summary of the strengths and weaknesses of the local economy, which may include the commercial, industrial, manufacturing, natural resource, and other locally significant economic sectors and supporting factors such as land use, transportation, utilities, education, workforce, housing, and natural/cultural resources;</w:t>
      </w:r>
    </w:p>
    <w:p>
      <w:pPr>
        <w:spacing w:before="0" w:after="0" w:line="408" w:lineRule="exact"/>
        <w:ind w:left="0" w:right="0" w:firstLine="576"/>
        <w:jc w:val="left"/>
      </w:pPr>
      <w:r>
        <w:rPr/>
        <w:t xml:space="preserve">(c) An identification of policies, programs, and projects to foster economic growth and development and to address future needs;</w:t>
      </w:r>
    </w:p>
    <w:p>
      <w:pPr>
        <w:spacing w:before="0" w:after="0" w:line="408" w:lineRule="exact"/>
        <w:ind w:left="0" w:right="0" w:firstLine="576"/>
        <w:jc w:val="left"/>
      </w:pPr>
      <w:r>
        <w:rPr/>
        <w:t xml:space="preserve">(d) Policies to promote increases in family, individual, and business incomes;</w:t>
      </w:r>
    </w:p>
    <w:p>
      <w:pPr>
        <w:spacing w:before="0" w:after="0" w:line="408" w:lineRule="exact"/>
        <w:ind w:left="0" w:right="0" w:firstLine="576"/>
        <w:jc w:val="left"/>
      </w:pPr>
      <w:r>
        <w:rPr/>
        <w:t xml:space="preserve">(e) An examination of whether sites planned for economic development have adequate public facilities and services, and, as appropriate, a plan for any needed public facilities and services;</w:t>
      </w:r>
    </w:p>
    <w:p>
      <w:pPr>
        <w:spacing w:before="0" w:after="0" w:line="408" w:lineRule="exact"/>
        <w:ind w:left="0" w:right="0" w:firstLine="576"/>
        <w:jc w:val="left"/>
      </w:pPr>
      <w:r>
        <w:rPr/>
        <w:t xml:space="preserve">(f) Policies to encourage access to education and training for family wage jobs; and</w:t>
      </w:r>
    </w:p>
    <w:p>
      <w:pPr>
        <w:spacing w:before="0" w:after="0" w:line="408" w:lineRule="exact"/>
        <w:ind w:left="0" w:right="0" w:firstLine="576"/>
        <w:jc w:val="left"/>
      </w:pPr>
      <w:r>
        <w:rPr/>
        <w:t xml:space="preserve">(g) Policies and opportunities to address economic development including existing industries and businesses, value added manufacturing of locally produced natural resources, and the use of locally produced energy and other natural resources.</w:t>
      </w:r>
    </w:p>
    <w:p>
      <w:pPr>
        <w:spacing w:before="0" w:after="0" w:line="408" w:lineRule="exact"/>
        <w:ind w:left="0" w:right="0" w:firstLine="576"/>
        <w:jc w:val="left"/>
      </w:pPr>
      <w:r>
        <w:rPr/>
        <w:t xml:space="preserve">(2) Each county and city planning under this chapter is encouraged to adopt comprehensive plans and development regulations that promote economic development in urban and rural areas, and evaluate economic performance in the jurisdiction in the time since the most recent update to the comprehensive plan. Each county and city planning under this chapter may make findings regarding the economic condition of the jurisdiction. If there is stagnation or economic deterioration during the period of time since the most recent update to the comprehensive plan, the comprehensive plan and development regulations may be modified to increase economic development opportunities.</w:t>
      </w:r>
    </w:p>
    <w:p>
      <w:pPr>
        <w:spacing w:before="0" w:after="0" w:line="408" w:lineRule="exact"/>
        <w:ind w:left="0" w:right="0" w:firstLine="576"/>
        <w:jc w:val="left"/>
      </w:pPr>
      <w:r>
        <w:rPr/>
        <w:t xml:space="preserve">(3)(a) Until December 31, 2034, counties with a population of less than seventy-five thousand as of January 1, 2014, as determined by the office of financial management and published on April 1, 2016, that are planning under this chapter, and the cities within those counties, may identify policies, programs, and development opportunities to address the potential for economic deterioration and to seize economic development opportunities that may deviate from prescriptive interpretations of this chapter.</w:t>
      </w:r>
    </w:p>
    <w:p>
      <w:pPr>
        <w:spacing w:before="0" w:after="0" w:line="408" w:lineRule="exact"/>
        <w:ind w:left="0" w:right="0" w:firstLine="576"/>
        <w:jc w:val="left"/>
      </w:pPr>
      <w:r>
        <w:rPr/>
        <w:t xml:space="preserve">(b) Any city or county that seizes economic development opportunities that deviate from the prescriptive interpretations of this chapter, as permitted under subsection (3)(a) of this section, must submit a report to the department of commerce within one year of approving such policy, program, or development opportunity. Each report must identify the economic development opportunity and the ways in which that economic development opportunity deviates from the prescriptive interpretations of this chapter.</w:t>
      </w:r>
    </w:p>
    <w:p>
      <w:pPr>
        <w:spacing w:before="0" w:after="0" w:line="408" w:lineRule="exact"/>
        <w:ind w:left="0" w:right="0" w:firstLine="576"/>
        <w:jc w:val="left"/>
      </w:pPr>
      <w:r>
        <w:rPr/>
        <w:t xml:space="preserve">(c) Beginning on October 1, 2022, and every five years after until October 1, 2032, the department of commerce must submit a report to the relevant environmental and local government committees of the legislature, in compliance with RCW 43.01.036. Each report must include a list of jurisdictions that have reported economic development opportunities under (b) of this subsection, as well as a summary list of the economic development opportunities for each jurisdiction. Each report must also include findings regarding the ways in which economic development opportunities have deviated from the prescriptive interpretations of this chapter.</w:t>
      </w:r>
    </w:p>
    <w:p>
      <w:pPr>
        <w:spacing w:before="0" w:after="0" w:line="408" w:lineRule="exact"/>
        <w:ind w:left="0" w:right="0" w:firstLine="576"/>
        <w:jc w:val="left"/>
      </w:pPr>
      <w:r>
        <w:rPr/>
        <w:t xml:space="preserve">(4) For purposes of this section, economic deterioration is exemplified by, but not limited to, any combination of the following performance outcomes:</w:t>
      </w:r>
    </w:p>
    <w:p>
      <w:pPr>
        <w:spacing w:before="0" w:after="0" w:line="408" w:lineRule="exact"/>
        <w:ind w:left="0" w:right="0" w:firstLine="576"/>
        <w:jc w:val="left"/>
      </w:pPr>
      <w:r>
        <w:rPr/>
        <w:t xml:space="preserve">(a) Incomes that are at least ten thousand dollars less than the statewide median household income for the same year as established by the office of financial management;</w:t>
      </w:r>
    </w:p>
    <w:p>
      <w:pPr>
        <w:spacing w:before="0" w:after="0" w:line="408" w:lineRule="exact"/>
        <w:ind w:left="0" w:right="0" w:firstLine="576"/>
        <w:jc w:val="left"/>
      </w:pPr>
      <w:r>
        <w:rPr/>
        <w:t xml:space="preserve">(b) A decrease in the county's household median income during any year within the prior eight years;</w:t>
      </w:r>
    </w:p>
    <w:p>
      <w:pPr>
        <w:spacing w:before="0" w:after="0" w:line="408" w:lineRule="exact"/>
        <w:ind w:left="0" w:right="0" w:firstLine="576"/>
        <w:jc w:val="left"/>
      </w:pPr>
      <w:r>
        <w:rPr/>
        <w:t xml:space="preserve">(c) The inability of the jurisdiction to add new full-time jobs in sufficient quantities to provide for population increases;</w:t>
      </w:r>
    </w:p>
    <w:p>
      <w:pPr>
        <w:spacing w:before="0" w:after="0" w:line="408" w:lineRule="exact"/>
        <w:ind w:left="0" w:right="0" w:firstLine="576"/>
        <w:jc w:val="left"/>
      </w:pPr>
      <w:r>
        <w:rPr/>
        <w:t xml:space="preserve">(d) Decreases or stagnation of economic start-ups during multiple years within the prior eight years;</w:t>
      </w:r>
    </w:p>
    <w:p>
      <w:pPr>
        <w:spacing w:before="0" w:after="0" w:line="408" w:lineRule="exact"/>
        <w:ind w:left="0" w:right="0" w:firstLine="576"/>
        <w:jc w:val="left"/>
      </w:pPr>
      <w:r>
        <w:rPr/>
        <w:t xml:space="preserve">(e) Unemployment rates that are higher than the national and statewide averages over multiple years within the prior eight years; and</w:t>
      </w:r>
    </w:p>
    <w:p>
      <w:pPr>
        <w:spacing w:before="0" w:after="0" w:line="408" w:lineRule="exact"/>
        <w:ind w:left="0" w:right="0" w:firstLine="576"/>
        <w:jc w:val="left"/>
      </w:pPr>
      <w:r>
        <w:rPr/>
        <w:t xml:space="preserve">(f) Decreases or stagnation in the issuance of commercial building permits during multiple years.</w:t>
      </w:r>
    </w:p>
    <w:p/>
    <w:p>
      <w:pPr>
        <w:jc w:val="center"/>
      </w:pPr>
      <w:r>
        <w:rPr>
          <w:b/>
        </w:rPr>
        <w:t>--- END ---</w:t>
      </w:r>
    </w:p>
    <w:sectPr>
      <w:pgNumType w:start="1"/>
      <w:footerReference xmlns:r="http://schemas.openxmlformats.org/officeDocument/2006/relationships" r:id="Rb93c2576178245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489772f4094586" /><Relationship Type="http://schemas.openxmlformats.org/officeDocument/2006/relationships/footer" Target="/word/footer.xml" Id="Rb93c2576178245ae" /></Relationships>
</file>