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dd852558b47e9" /></Relationships>
</file>

<file path=word/document.xml><?xml version="1.0" encoding="utf-8"?>
<w:document xmlns:w="http://schemas.openxmlformats.org/wordprocessingml/2006/main">
  <w:body>
    <w:p>
      <w:r>
        <w:t>S-3017.1</w:t>
      </w:r>
    </w:p>
    <w:p>
      <w:pPr>
        <w:jc w:val="center"/>
      </w:pPr>
      <w:r>
        <w:t>_______________________________________________</w:t>
      </w:r>
    </w:p>
    <w:p/>
    <w:p>
      <w:pPr>
        <w:jc w:val="center"/>
      </w:pPr>
      <w:r>
        <w:rPr>
          <w:b/>
        </w:rPr>
        <w:t>SUBSTITUTE SENATE BILL 5965</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Senate Ways &amp; Means (originally sponsored by Senator Honeyford)</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supplemental capital appropriations for the 2015-2017 fiscal biennium, making capital reappropriations for the 2017-2019 fiscal biennium, and making new appropriations for the school construction assistance program for the 2017-2019 fiscal biennium; amending RCW 70.340.130; amending 2015 3rd sp.s. c 3 ss 1002, 1026, 1028, 3187, 3188, 3198, 3200, and 3202 and 2016 sp.s. c 35 ss 1008, 2011, 3018, 1016, and 6015 (uncodified); adding new sections to 2015 3rd sp.s. c 3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(2) "Reappropriations" in this act are appropriations and, unless the context clearly provides otherwise, are subject to the relevant conditions and limitations applicable to appropriations. Reappropriations shall be limited to the unexpended balances remaining on June 30, 2017, from the 2015-2017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WWRP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rPr/>
        <w:t xml:space="preserve">(3) The department shall submit an updated project proposal by October 15, 2017 and return any excess funds.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$1,941,000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Relocate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appropriation in this section is provided solely to purchase replacement properties for Blanchard mountain trust lands core-zone.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$209,100,000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2017-2019 School Construction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$327,926,000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$7,559,000</w:t>
      </w:r>
    </w:p>
    <w:p>
      <w:pPr>
        <w:tabs>
          <w:tab w:val="right" w:leader="dot" w:pos="9936"/>
        </w:tabs>
        <w:ind w:left="0" w:right="0" w:firstLine="1440"/>
      </w:pPr>
      <w:r>
        <w:rPr/>
        <w:t xml:space="preserve">Subtotal Appropriation</w:t>
      </w:r>
      <w:r>
        <w:tab/>
      </w:r>
      <w:r>
        <w:rPr/>
        <w:t xml:space="preserve">$335,485,000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$335,485,000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$1,195,000</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$16,500,000</w:t>
      </w:r>
      <w:r>
        <w:rPr/>
        <w:t xml:space="preserve">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 (uncodified)</w:t>
      </w:r>
      <w:r>
        <w:rPr/>
        <w:t xml:space="preserve">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3188 (uncodified)</w:t>
      </w:r>
      <w:r>
        <w:rPr/>
        <w:t xml:space="preserve">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t>((</w:t>
      </w:r>
      <w:r>
        <w:rPr>
          <w:strike/>
        </w:rPr>
        <w:t xml:space="preserve">$1,619,000</w:t>
      </w:r>
      <w:r>
        <w:t>))</w:t>
      </w:r>
    </w:p>
    <w:p>
      <w:pPr>
        <w:spacing w:before="0" w:after="0" w:line="408" w:lineRule="exact"/>
        <w:ind w:left="0" w:right="0" w:firstLine="576"/>
        <w:jc w:val="right"/>
      </w:pPr>
      <w:r>
        <w:rPr>
          <w:u w:val="single"/>
        </w:rPr>
        <w:t xml:space="preserve">$2,210,000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t>((</w:t>
      </w:r>
      <w:r>
        <w:rPr>
          <w:strike/>
        </w:rPr>
        <w:t xml:space="preserve">$2,316,000</w:t>
      </w:r>
      <w:r>
        <w:t>))</w:t>
      </w:r>
    </w:p>
    <w:p>
      <w:pPr>
        <w:spacing w:before="0" w:after="0" w:line="408" w:lineRule="exact"/>
        <w:ind w:left="0" w:right="0" w:firstLine="576"/>
        <w:jc w:val="right"/>
      </w:pPr>
      <w:r>
        <w:rPr>
          <w:u w:val="single"/>
        </w:rPr>
        <w:t xml:space="preserve">$55,000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$9,192,000</w:t>
      </w:r>
      <w:r>
        <w:t>))</w:t>
      </w:r>
    </w:p>
    <w:p>
      <w:pPr>
        <w:spacing w:before="0" w:after="0" w:line="408" w:lineRule="exact"/>
        <w:ind w:left="0" w:right="0" w:firstLine="0"/>
        <w:jc w:val="left"/>
        <w:tabs>
          <w:tab w:val="right" w:leader="none" w:pos="9936"/>
        </w:tabs>
      </w:pPr>
      <w:r>
        <w:tab/>
      </w:r>
      <w:r>
        <w:rPr>
          <w:u w:val="single"/>
        </w:rPr>
        <w:t xml:space="preserve">$7,522,000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$9,192,000</w:t>
      </w:r>
    </w:p>
    <w:p>
      <w:pPr>
        <w:spacing w:before="0" w:after="0" w:line="408" w:lineRule="exact"/>
        <w:ind w:left="0" w:right="0" w:firstLine="0"/>
        <w:jc w:val="left"/>
        <w:tabs>
          <w:tab w:val="right" w:leader="none" w:pos="9936"/>
        </w:tabs>
      </w:pPr>
      <w:r>
        <w:tab/>
      </w:r>
      <w:r>
        <w:rPr>
          <w:u w:val="single"/>
        </w:rPr>
        <w:t xml:space="preserve">$7,522,000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Space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$23,000,000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w:t>
      </w:r>
      <w:r>
        <w:t>((</w:t>
      </w:r>
      <w:r>
        <w:rPr>
          <w:strike/>
        </w:rPr>
        <w:t xml:space="preserve">2019,</w:t>
      </w:r>
      <w:r>
        <w:t>))</w:t>
      </w:r>
      <w:r>
        <w:rPr/>
        <w:t xml:space="preserve"> 2020, </w:t>
      </w:r>
      <w:r>
        <w:t>((</w:t>
      </w:r>
      <w:r>
        <w:rPr>
          <w:strike/>
        </w:rPr>
        <w:t xml:space="preserve">and</w:t>
      </w:r>
      <w:r>
        <w:t>))</w:t>
      </w:r>
      <w:r>
        <w:rPr/>
        <w:t xml:space="preserve"> 2021</w:t>
      </w:r>
      <w:r>
        <w:rPr>
          <w:u w:val="single"/>
        </w:rPr>
        <w:t xml:space="preserve">, and 2022</w:t>
      </w:r>
      <w:r>
        <w:rPr/>
        <w:t xml:space="preserve">.</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facilities with an area of 5,000 square feet or greater, the results of a life-cycle cost analysis of building systems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44fbfa88b7a47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9dc81eb404306" /><Relationship Type="http://schemas.openxmlformats.org/officeDocument/2006/relationships/footer" Target="/word/footer.xml" Id="R244fbfa88b7a4791" /></Relationships>
</file>