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f47d6317443ae" /></Relationships>
</file>

<file path=word/document.xml><?xml version="1.0" encoding="utf-8"?>
<w:document xmlns:w="http://schemas.openxmlformats.org/wordprocessingml/2006/main">
  <w:body>
    <w:p>
      <w:r>
        <w:t>S-4764.1</w:t>
      </w:r>
    </w:p>
    <w:p>
      <w:pPr>
        <w:jc w:val="center"/>
      </w:pPr>
      <w:r>
        <w:t>_______________________________________________</w:t>
      </w:r>
    </w:p>
    <w:p/>
    <w:p>
      <w:pPr>
        <w:jc w:val="center"/>
      </w:pPr>
      <w:r>
        <w:rPr>
          <w:b/>
        </w:rPr>
        <w:t>SECOND SUBSTITUTE SENATE BILL 5970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Saldaña, O'Ban,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field response teams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team grant program. The purpose of the program is to assist local law enforcement agencies to develop and operate mental health field response team capabilities, utilizing mental health professionals to professionally, humanely, and safely respond to encounters involving persons with mental health issues.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through modifying or expanding law enforcement practices in partnership with mental health professionals. A peer review panel appointed by the Washington association of sheriffs and police chiefs in consultation with fully integrated managed care organizations and behavioral health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Grant recipients must be selected and receiving funds no later than October 1, 2018.</w:t>
      </w:r>
    </w:p>
    <w:p>
      <w:pPr>
        <w:spacing w:before="0" w:after="0" w:line="408" w:lineRule="exact"/>
        <w:ind w:left="0" w:right="0" w:firstLine="576"/>
        <w:jc w:val="left"/>
      </w:pPr>
      <w:r>
        <w:rPr/>
        <w:t xml:space="preserve">(3) Grant recipients must include at least one designated crisis responder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requires or limits the mental health professional's participation in field patrol.</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teams improves outcomes of interactions with persons experiencing behavioral health crises, including reducing rates of violence and harm, reduced arrests, and jail or emergency room usage; and</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
      <w:pPr>
        <w:jc w:val="center"/>
      </w:pPr>
      <w:r>
        <w:rPr>
          <w:b/>
        </w:rPr>
        <w:t>--- END ---</w:t>
      </w:r>
    </w:p>
    <w:sectPr>
      <w:pgNumType w:start="1"/>
      <w:footerReference xmlns:r="http://schemas.openxmlformats.org/officeDocument/2006/relationships" r:id="Rd351a2369b3446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8cc937df74378" /><Relationship Type="http://schemas.openxmlformats.org/officeDocument/2006/relationships/footer" Target="/word/footer.xml" Id="Rd351a2369b3446d1" /></Relationships>
</file>