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b550b63ed4f84" /></Relationships>
</file>

<file path=word/document.xml><?xml version="1.0" encoding="utf-8"?>
<w:document xmlns:w="http://schemas.openxmlformats.org/wordprocessingml/2006/main">
  <w:body>
    <w:p>
      <w:r>
        <w:t>S-2907.2</w:t>
      </w:r>
    </w:p>
    <w:p>
      <w:pPr>
        <w:jc w:val="center"/>
      </w:pPr>
      <w:r>
        <w:t>_______________________________________________</w:t>
      </w:r>
    </w:p>
    <w:p/>
    <w:p>
      <w:pPr>
        <w:jc w:val="center"/>
      </w:pPr>
      <w:r>
        <w:rPr>
          <w:b/>
        </w:rPr>
        <w:t>SENATE BILL 5976</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Rivers and Liias</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or hours of individual providers; amending RCW 74.39A.270;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5d5510cec2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02d94ce5848c3" /><Relationship Type="http://schemas.openxmlformats.org/officeDocument/2006/relationships/footer" Target="/word/footer.xml" Id="Ra65d5510cec24a9d" /></Relationships>
</file>