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36516901b84c5c" /></Relationships>
</file>

<file path=word/document.xml><?xml version="1.0" encoding="utf-8"?>
<w:document xmlns:w="http://schemas.openxmlformats.org/wordprocessingml/2006/main">
  <w:body>
    <w:p>
      <w:r>
        <w:t>S-3159.2</w:t>
      </w:r>
    </w:p>
    <w:p>
      <w:pPr>
        <w:jc w:val="center"/>
      </w:pPr>
      <w:r>
        <w:t>_______________________________________________</w:t>
      </w:r>
    </w:p>
    <w:p/>
    <w:p>
      <w:pPr>
        <w:jc w:val="center"/>
      </w:pPr>
      <w:r>
        <w:rPr>
          <w:b/>
        </w:rPr>
        <w:t>SENATE BILL 5991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Billig, Fain, Palumbo, Miloscia, Hunt, Mullet, Carlyle, Frockt, Rolfes, Ranker, Darneille, Conway, Hasegawa, Pedersen, Nelson, McCoy, Takko, Saldaña, Cleveland, Wellman, Kuderer, Liias, Hobbs, Chase, Van De Wege, Keiser, and Dhingra</w:t>
      </w:r>
    </w:p>
    <w:p/>
    <w:p>
      <w:r>
        <w:rPr>
          <w:t xml:space="preserve">Prefiled 12/04/17.</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of contributions by creating the Washington state DISCLOSE act of 2018; amending RCW 42.17A.235 and 42.17A.240; reenacting and amending RCW 42.17A.005; adding a new section to chapter 42.17A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2018 or the Washington state DISCLOSE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nonprofit organizations may form political committees using the funds contributed only by those members wishing to further the organization's campaign activity. However, many members of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 </w:t>
      </w:r>
      <w:r>
        <w:rPr>
          <w:u w:val="single"/>
        </w:rPr>
        <w:t xml:space="preserve">"Incidental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payments or expenditures aggregating at least ten thousand dollars in a calendar year in any election campaign, or to a political committee or an incidental committee; and</w:t>
      </w:r>
    </w:p>
    <w:p>
      <w:pPr>
        <w:spacing w:before="0" w:after="0" w:line="408" w:lineRule="exact"/>
        <w:ind w:left="0" w:right="0" w:firstLine="576"/>
        <w:jc w:val="left"/>
      </w:pPr>
      <w:r>
        <w:rPr/>
        <w:t xml:space="preserve">(ii) Is required to disclose a payment received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payments of ten thousand dollars or greater it received in the current calendar year from a single person, including any persons tied as the tenth largest source of payments it received, if any, and all aggregate payments it received in the current calendar year with a value of one hundred thousand dollars or greater from a single person.</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payment that would change the information required under RCW 42.17A.240(2)(d) as included in its last report; or</w:t>
      </w:r>
    </w:p>
    <w:p>
      <w:pPr>
        <w:spacing w:before="0" w:after="0" w:line="408" w:lineRule="exact"/>
        <w:ind w:left="0" w:right="0" w:firstLine="576"/>
        <w:jc w:val="left"/>
      </w:pPr>
      <w:r>
        <w:rPr>
          <w:u w:val="single"/>
        </w:rPr>
        <w:t xml:space="preserve">(B) Made any expenditure reportable under RCW 42.17A.240(6) since its last report, and the total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2018,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 </w:t>
      </w:r>
      <w:r>
        <w:rPr>
          <w:u w:val="single"/>
        </w:rPr>
        <w:t xml:space="preserve">except that the commission may suspend or modify reporting requirements for contributions received by an incidental committee in cases of manifestly unreasonable hardship under RCW 42.17A.120</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Payments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payments received, including any persons tied as the tenth largest source of payments received, during the current calendar year, and the value of the aggregate payments received from that person during the current calendar year is ten thousand dollars or greater; or</w:t>
      </w:r>
    </w:p>
    <w:p>
      <w:pPr>
        <w:spacing w:before="0" w:after="0" w:line="408" w:lineRule="exact"/>
        <w:ind w:left="0" w:right="0" w:firstLine="576"/>
        <w:jc w:val="left"/>
      </w:pPr>
      <w:r>
        <w:rPr>
          <w:u w:val="single"/>
        </w:rPr>
        <w:t xml:space="preserve">(ii) The person gave one hundred thousand dollars or more to the incidental committee during the current calendar year; and</w:t>
      </w:r>
    </w:p>
    <w:p>
      <w:pPr>
        <w:spacing w:before="0" w:after="0" w:line="408" w:lineRule="exact"/>
        <w:ind w:left="0" w:right="0" w:firstLine="576"/>
        <w:jc w:val="left"/>
      </w:pPr>
      <w:r>
        <w:rPr>
          <w:u w:val="single"/>
        </w:rPr>
        <w:t xml:space="preserve">(e)</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directly or indirectly in support of or in opposition to any election campaign or to a political or incidental committee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e36bae5257f43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29e6cd37f144c5" /><Relationship Type="http://schemas.openxmlformats.org/officeDocument/2006/relationships/footer" Target="/word/footer.xml" Id="R0e36bae5257f4310" /></Relationships>
</file>