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979a4033594823" /></Relationships>
</file>

<file path=word/document.xml><?xml version="1.0" encoding="utf-8"?>
<w:document xmlns:w="http://schemas.openxmlformats.org/wordprocessingml/2006/main">
  <w:body>
    <w:p>
      <w:r>
        <w:t>S-3274.2</w:t>
      </w:r>
    </w:p>
    <w:p>
      <w:pPr>
        <w:jc w:val="center"/>
      </w:pPr>
      <w:r>
        <w:t>_______________________________________________</w:t>
      </w:r>
    </w:p>
    <w:p/>
    <w:p>
      <w:pPr>
        <w:jc w:val="center"/>
      </w:pPr>
      <w:r>
        <w:rPr>
          <w:b/>
        </w:rPr>
        <w:t>SENATE BILL 6013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Frockt, Darneille, Keiser, Palumbo, Kuderer, and Hasegawa</w:t>
      </w:r>
    </w:p>
    <w:p/>
    <w:p>
      <w:r>
        <w:rPr>
          <w:t xml:space="preserve">Prefiled 12/08/17.</w:t>
        </w:rPr>
      </w:r>
      <w:r>
        <w:rPr>
          <w:t xml:space="preserve">Read first time 01/08/18.  </w:t>
        </w:rPr>
      </w:r>
      <w:r>
        <w:rPr>
          <w:t xml:space="preserve">Referred to Committee on Human Services &amp; Corrections.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behavioral rehabilitation services; amending RCW 43.88C.010; adding a new section to chapter 74.13 RCW; adding a new section to chapter 43.88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dependent children with high acuity behavioral and mental health needs require robust and consistent behavioral rehabilitation services in order to address their needs and ensure stable, permanent outcomes. The legislature also finds that a reliable network of providers is critical to ensuring our highest needs children receive prompt and appropriate services. Therefore, it is the intent of the legislature to ensure that behavioral rehabilitation services rates are established at levels appropriate to ensure that future rates address the real costs of care and that the caseload for these services are forecasted.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Effective July 1, 2018, contracted rates for behavioral rehabilitation services must be adjusted as needed to reflect the actual costs of care provided by the vendor. To determine actual costs of care, the vendors shall furnish adequate documented evidence related to the cost of providing their particular services to the extent and at such times as the department determines to be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w:t>
      </w:r>
      <w:r>
        <w:t>((</w:t>
      </w:r>
      <w:r>
        <w:rPr>
          <w:strike/>
        </w:rPr>
        <w:t xml:space="preserve">43.215.405</w:t>
      </w:r>
      <w:r>
        <w:t>))</w:t>
      </w:r>
      <w:r>
        <w:rPr/>
        <w:t xml:space="preserve"> </w:t>
      </w:r>
      <w:r>
        <w:rPr>
          <w:u w:val="single"/>
        </w:rPr>
        <w:t xml:space="preserve">43.216.505</w:t>
      </w:r>
      <w:r>
        <w:rPr/>
        <w:t xml:space="preserve">,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w:t>
      </w:r>
      <w:r>
        <w:rPr>
          <w:u w:val="single"/>
        </w:rPr>
        <w:t xml:space="preserve">The caseload forecast council shall forecast the number of youth expected to receive behavioral rehabilitation services while involved in the foster care system.</w:t>
      </w:r>
    </w:p>
    <w:p>
      <w:pPr>
        <w:spacing w:before="0" w:after="0" w:line="408" w:lineRule="exact"/>
        <w:ind w:left="0" w:right="0" w:firstLine="576"/>
        <w:jc w:val="left"/>
      </w:pPr>
      <w:r>
        <w:rPr>
          <w:u w:val="single"/>
        </w:rPr>
        <w:t xml:space="preserve">(11)</w:t>
      </w:r>
      <w:r>
        <w:rPr/>
        <w:t xml:space="preserve">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For the purposes of this chapter, behavioral rehabilitation services placements must be forecasted and budgeted as maintenance level costs.</w:t>
      </w:r>
    </w:p>
    <w:p/>
    <w:p>
      <w:pPr>
        <w:jc w:val="center"/>
      </w:pPr>
      <w:r>
        <w:rPr>
          <w:b/>
        </w:rPr>
        <w:t>--- END ---</w:t>
      </w:r>
    </w:p>
    <w:sectPr>
      <w:pgNumType w:start="1"/>
      <w:footerReference xmlns:r="http://schemas.openxmlformats.org/officeDocument/2006/relationships" r:id="R000448accc09450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9fc12fb65f44dc" /><Relationship Type="http://schemas.openxmlformats.org/officeDocument/2006/relationships/footer" Target="/word/footer.xml" Id="R000448accc094504" /></Relationships>
</file>