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188983e27f42a1" /></Relationships>
</file>

<file path=word/document.xml><?xml version="1.0" encoding="utf-8"?>
<w:document xmlns:w="http://schemas.openxmlformats.org/wordprocessingml/2006/main">
  <w:body>
    <w:p>
      <w:r>
        <w:t>S-3536.1</w:t>
      </w:r>
    </w:p>
    <w:p>
      <w:pPr>
        <w:jc w:val="center"/>
      </w:pPr>
      <w:r>
        <w:t>_______________________________________________</w:t>
      </w:r>
    </w:p>
    <w:p/>
    <w:p>
      <w:pPr>
        <w:jc w:val="center"/>
      </w:pPr>
      <w:r>
        <w:rPr>
          <w:b/>
        </w:rPr>
        <w:t>SENATE BILL 6089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Honeyford, Mullet, Takko, Keiser, Van De Wege, Hunt, Nelson, Dhingra, Chase, Saldaña, Rolfes, McCoy, Carlyle, Wellman, Ranker, and Kuderer</w:t>
      </w:r>
    </w:p>
    <w:p/>
    <w:p>
      <w:r>
        <w:rPr>
          <w:t xml:space="preserve">Prefiled 01/05/18.</w:t>
        </w:rPr>
      </w:r>
      <w:r>
        <w:rPr>
          <w:t xml:space="preserve">Read first time 01/08/18.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and 43.99G.170; adding a new section to chapter 43.99H RCW; adding a new section to chapter 28B.14H RCW; adding new chapters to Title 43 RCW;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PROJECTS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nine hundred forty-five million eleven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seven hundred twenty million nine hundred twelve thousand dollars to remain in the state building construction account created by RCW 43.83.020;</w:t>
      </w:r>
    </w:p>
    <w:p>
      <w:pPr>
        <w:spacing w:before="0" w:after="0" w:line="408" w:lineRule="exact"/>
        <w:ind w:left="0" w:right="0" w:firstLine="576"/>
        <w:jc w:val="left"/>
      </w:pPr>
      <w:r>
        <w:rPr/>
        <w:t xml:space="preserve">(b) Two hundred twenty-four million ninety-nine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revolving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102(1) (a) through (d)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WATER RESTORATION AND ENHANCEMENT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the watershed restoration and enhancement program, the state finance committee is authorized to issue general obligation bonds of the state of Washington in the sum of two hundred million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the proceeds of the new bonds authorized in section 201 of this act will be appropriated in phases over five biennia, beginning with the 2017-2019 biennium. This is not intended to limit the legislature's ability to appropriate bond proceeds if the full amount authorized in section 201 of this act has not been appropriated after five biennia. The authorization to issue bonds contained in section 201 of this act does not expire until the full authorization has been appropriated and issued.</w:t>
      </w:r>
    </w:p>
    <w:p>
      <w:pPr>
        <w:spacing w:before="0" w:after="0" w:line="408" w:lineRule="exact"/>
        <w:ind w:left="0" w:right="0" w:firstLine="576"/>
        <w:jc w:val="left"/>
      </w:pPr>
      <w:r>
        <w:rPr/>
        <w:t xml:space="preserve">(2) The bonds issued under authority of section 201 of this act are not in addition to: (a) The bonds authorized under section 101 of this act; or (b) the general obligation bonds of the state of Washington authorized between the effective date of this section and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watershed restoration and enhancement bond account. If the state finance committee deems it necessary to issue the bonds authorized in section 201 of this act as taxable bonds in order to comply with federal internal revenue service rules and regulations pertaining to the use of nontaxable bond proceeds, the proceeds of such taxable bonds must be deposited into the watershed restoration and enhancement taxable bond account. The state treasurer shall submit written notice to the director of financial management if it is determined that any such transfer to the state taxable building construction account is necessary. Moneys in the account may be spent only after appropriation. The proceeds shall be used exclusively for the purposes specified in section 201 of this act and for the payment of expenses incurred in the issuance and sale of the bonds. These proceeds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debt-limit general fund bond retirement account shall be used for the payment of the principal of and interest on the bonds authorized in section 201 of this act.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204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57aefa194674d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a3e1aa22a74487" /><Relationship Type="http://schemas.openxmlformats.org/officeDocument/2006/relationships/footer" Target="/word/footer.xml" Id="Rb57aefa194674d5c" /></Relationships>
</file>