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64cf20f864e46" /></Relationships>
</file>

<file path=word/document.xml><?xml version="1.0" encoding="utf-8"?>
<w:document xmlns:w="http://schemas.openxmlformats.org/wordprocessingml/2006/main">
  <w:body>
    <w:p>
      <w:r>
        <w:t>Z-0722.4</w:t>
      </w:r>
    </w:p>
    <w:p>
      <w:pPr>
        <w:jc w:val="center"/>
      </w:pPr>
      <w:r>
        <w:t>_______________________________________________</w:t>
      </w:r>
    </w:p>
    <w:p/>
    <w:p>
      <w:pPr>
        <w:jc w:val="center"/>
      </w:pPr>
      <w:r>
        <w:rPr>
          <w:b/>
        </w:rPr>
        <w:t>SENATE BILL 6106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Hobbs; by request of Office of Financial Management</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2017 c 313 ss 101, 103, 105, 106, 108, 201-223, 301-312, 401, 402, 404, 406-408, 601, 604, and 606 (uncodified); amending 2017 3rd sp.s. c 1 ss 726, 727, 728, 729, 730, 731, 732, 733, 735, and 736 (uncodified); adding a new section to 2017 c 313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$3,889,000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$4,005,000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$2,270,000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$1,304,000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u w:val="single"/>
        </w:rPr>
        <w:t xml:space="preserve">Oil Spill Prevention Account</w:t>
      </w:r>
      <w:r>
        <w:rPr>
          <w:rFonts w:ascii="Times New Roman" w:hAnsi="Times New Roman"/>
          <w:u w:val="single"/>
        </w:rPr>
        <w:t xml:space="preserve">—</w:t>
      </w: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$1,100,000</w:t>
      </w:r>
    </w:p>
    <w:p>
      <w:pPr>
        <w:tabs>
          <w:tab w:val="right" w:leader="dot" w:pos="9936"/>
        </w:tabs>
        <w:ind w:left="0" w:right="0" w:firstLine="1440"/>
      </w:pPr>
      <w:r>
        <w:rPr>
          <w:u w:val="single"/>
        </w:rPr>
        <w:t xml:space="preserve">TOTAL APPROPRIATION</w:t>
      </w:r>
      <w:r>
        <w:tab/>
      </w:r>
      <w:r>
        <w:rPr>
          <w:u w:val="single"/>
        </w:rPr>
        <w:t xml:space="preserve">$1,200,000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rPr>
          <w:u w:val="single"/>
        </w:rPr>
        <w:t xml:space="preserve">are</w:t>
      </w:r>
      <w:r>
        <w:rPr/>
        <w:t xml:space="preserve">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solely for the expenditure of self-insurance premiums;</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c 313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 . . (Substitute Senate Bill No. 5402), Laws of 2017 (bicyclist safety advisory council). If chapter . . . (Substitute Senate Bill No. 5402), Laws of 2017 is not enacted by June 30, 2017, the amount provided in this subsection lapses.</w:t>
      </w:r>
    </w:p>
    <w:p>
      <w:pPr>
        <w:spacing w:before="0" w:after="0" w:line="408" w:lineRule="exact"/>
        <w:ind w:left="0" w:right="0" w:firstLine="576"/>
        <w:jc w:val="left"/>
      </w:pPr>
      <w:r>
        <w:rPr/>
        <w:t xml:space="preserve">(2) $1,000,000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705 </w:t>
      </w:r>
      <w:r>
        <w:t>((</w:t>
      </w:r>
      <w:r>
        <w:rPr>
          <w:strike/>
        </w:rPr>
        <w:t xml:space="preserve">of this act</w:t>
      </w:r>
      <w:r>
        <w:t>))</w:t>
      </w:r>
      <w:r>
        <w:rPr>
          <w:u w:val="single"/>
        </w:rPr>
        <w:t xml:space="preserve">, chapter 313, Laws of 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$1,591,000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$2,309,000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$2,141,000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$835,000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$494,271,000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$14,566,000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$4,009,000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tabs>
          <w:tab w:val="right" w:leader="none" w:pos="9936"/>
        </w:tabs>
        <w:ind w:left="0" w:right="0" w:firstLine="1440"/>
      </w:pPr>
      <w:r>
        <w:tab/>
      </w:r>
      <w:r>
        <w:rPr>
          <w:u w:val="single"/>
        </w:rPr>
        <w:t xml:space="preserve">$514,706,000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w:t>
      </w:r>
      <w:r>
        <w:t>))</w:t>
      </w:r>
      <w:r>
        <w:rPr/>
        <w:t xml:space="preserve"> </w:t>
      </w:r>
      <w:r>
        <w:rPr>
          <w:u w:val="single"/>
        </w:rPr>
        <w:t xml:space="preserve">406</w:t>
      </w:r>
      <w:r>
        <w:rPr/>
        <w:t xml:space="preserve">(25)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$268,657,000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$83,818,000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$4,909,000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$381,626,000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 of the highway safety account</w:t>
      </w:r>
      <w:r>
        <w:rPr>
          <w:rFonts w:ascii="Times New Roman" w:hAnsi="Times New Roman"/>
          <w:strike/>
        </w:rPr>
        <w:t xml:space="preserve">—</w:t>
      </w:r>
      <w:r>
        <w:rPr>
          <w:strik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strike/>
        </w:rPr>
        <w:t xml:space="preserve">(5)</w:t>
      </w:r>
      <w:r>
        <w:t>))</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provided in this subsection lapses.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$33,617,000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$21,756,000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w:t>
      </w:r>
      <w:r>
        <w:t>((</w:t>
      </w:r>
      <w:r>
        <w:rPr>
          <w:strike/>
        </w:rPr>
        <w:t xml:space="preserve">408</w:t>
      </w:r>
      <w:r>
        <w:t>))</w:t>
      </w:r>
      <w:r>
        <w:rPr>
          <w:u w:val="single"/>
        </w:rPr>
        <w:t xml:space="preserve">406</w:t>
      </w:r>
      <w:r>
        <w:rPr/>
        <w:t xml:space="preserve">(26)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$13,617,000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$87,819,000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w:t>
      </w:r>
      <w:r>
        <w:rPr>
          <w:rFonts w:ascii="Times New Roman" w:hAnsi="Times New Roman"/>
          <w:u w:val="single"/>
        </w:rPr>
        <w:t xml:space="preserve">—</w:t>
      </w:r>
      <w:r>
        <w:rPr>
          <w:u w:val="single"/>
        </w:rPr>
        <w:t xml:space="preserve">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$29,321,000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$29,355,000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$7,309,000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$14,335,000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$2,637,000</w:t>
      </w:r>
      <w:r>
        <w:t>))</w:t>
      </w:r>
      <w:r>
        <w:rPr/>
        <w:t xml:space="preserve"> </w:t>
      </w:r>
      <w:r>
        <w:rPr>
          <w:u w:val="single"/>
        </w:rPr>
        <w:t xml:space="preserve">$3,122,000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$56,361,000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$256,000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spacing w:before="0" w:after="0" w:line="408" w:lineRule="exact"/>
        <w:ind w:left="0" w:right="0" w:firstLine="0"/>
        <w:jc w:val="left"/>
        <w:tabs>
          <w:tab w:val="right" w:leader="none" w:pos="9936"/>
        </w:tabs>
      </w:pPr>
      <w:r>
        <w:tab/>
      </w:r>
      <w:r>
        <w:rPr>
          <w:u w:val="single"/>
        </w:rPr>
        <w:t xml:space="preserve">$621,000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The department of transportation must apply to the department of ecology for grants funded by the Volkswagen "clean diesel" marketing, sales practice, and products liability litigation settlement. The department must apply for funding for electric vehicle charging station infrastructure projects. The department of ecology must work with the department of transportation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$2,609,000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$26,214,000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$69,616,000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$75,595,000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$2,117,000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$96,477,000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$234,814,000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The department of transportation must apply to the department of ecology for grants funded by the Volkswagen "clean diesel" marketing, sales practice, and products liability litigation settlement. The department must apply for funding for projects that electrify and reduce air emissions from public-sector transit buses. The department must work with the department of ecology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$511,329,000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tabs>
          <w:tab w:val="right" w:leader="none" w:pos="9936"/>
        </w:tabs>
        <w:ind w:left="0" w:right="0" w:firstLine="1440"/>
      </w:pPr>
      <w:r>
        <w:tab/>
      </w:r>
      <w:r>
        <w:rPr>
          <w:u w:val="single"/>
        </w:rPr>
        <w:t xml:space="preserve">$520,193,000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$69,777,000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$83,870,000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strike/>
        </w:rPr>
        <w:t xml:space="preserve">$80,192,000</w:t>
      </w:r>
    </w:p>
    <w:p>
      <w:pPr>
        <w:tabs>
          <w:tab w:val="right" w:leader="none" w:pos="9936"/>
        </w:tabs>
        <w:ind w:left="0" w:right="0" w:firstLine="1440"/>
      </w:pPr>
      <w:r>
        <w:tab/>
      </w:r>
      <w:r>
        <w:rPr>
          <w:u w:val="single"/>
        </w:rPr>
        <w:t xml:space="preserve">$83,916,000</w:t>
      </w:r>
    </w:p>
    <w:p>
      <w:pPr>
        <w:spacing w:before="120" w:after="0" w:line="408" w:lineRule="exact"/>
        <w:ind w:left="0" w:right="0" w:firstLine="576"/>
        <w:jc w:val="left"/>
      </w:pPr>
      <w:r>
        <w:rPr>
          <w:u w:val="single"/>
        </w:rPr>
        <w:t xml:space="preserve">(1)</w:t>
      </w:r>
      <w:r>
        <w:rPr/>
        <w:t xml:space="preserve"> 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 $3,600,000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 Specifically, the business case analysis must address:</w:t>
      </w:r>
    </w:p>
    <w:p>
      <w:pPr>
        <w:spacing w:before="0" w:after="0" w:line="408" w:lineRule="exact"/>
        <w:ind w:left="0" w:right="0" w:firstLine="576"/>
        <w:jc w:val="left"/>
      </w:pPr>
      <w:r>
        <w:rPr>
          <w:u w:val="single"/>
        </w:rPr>
        <w:t xml:space="preserve">(a) Three ultra high-speed ground transportation service scenarios:</w:t>
      </w:r>
    </w:p>
    <w:p>
      <w:pPr>
        <w:spacing w:before="0" w:after="0" w:line="408" w:lineRule="exact"/>
        <w:ind w:left="0" w:right="0" w:firstLine="576"/>
        <w:jc w:val="left"/>
      </w:pPr>
      <w:r>
        <w:rPr>
          <w:u w:val="single"/>
        </w:rPr>
        <w:t xml:space="preserve">(i) Potential stations in the areas of Portland, Seattle, and Vancouver, British Columbia;</w:t>
      </w:r>
    </w:p>
    <w:p>
      <w:pPr>
        <w:spacing w:before="0" w:after="0" w:line="408" w:lineRule="exact"/>
        <w:ind w:left="0" w:right="0" w:firstLine="576"/>
        <w:jc w:val="left"/>
      </w:pPr>
      <w:r>
        <w:rPr>
          <w:u w:val="single"/>
        </w:rPr>
        <w:t xml:space="preserve">(ii) Potential stations in the areas of Portland, Olympia, Tacoma, Seattle, and Vancouver, British Columbia;</w:t>
      </w:r>
    </w:p>
    <w:p>
      <w:pPr>
        <w:spacing w:before="0" w:after="0" w:line="408" w:lineRule="exact"/>
        <w:ind w:left="0" w:right="0" w:firstLine="576"/>
        <w:jc w:val="left"/>
      </w:pPr>
      <w:r>
        <w:rPr>
          <w:u w:val="single"/>
        </w:rPr>
        <w:t xml:space="preserve">(iii) Potential stations in the areas of Portland, Olympia, Tacoma, Seattle, Everett, Bellingham, and Vancouver, British Columbia;</w:t>
      </w:r>
    </w:p>
    <w:p>
      <w:pPr>
        <w:spacing w:before="0" w:after="0" w:line="408" w:lineRule="exact"/>
        <w:ind w:left="0" w:right="0" w:firstLine="576"/>
        <w:jc w:val="left"/>
      </w:pPr>
      <w:r>
        <w:rPr>
          <w:u w:val="single"/>
        </w:rPr>
        <w:t xml:space="preserve">(b) In-scope market of potential passengers who would be attracted to ultra high-speed ground transportation service from the following distinct segments:</w:t>
      </w:r>
    </w:p>
    <w:p>
      <w:pPr>
        <w:spacing w:before="0" w:after="0" w:line="408" w:lineRule="exact"/>
        <w:ind w:left="0" w:right="0" w:firstLine="576"/>
        <w:jc w:val="left"/>
      </w:pPr>
      <w:r>
        <w:rPr>
          <w:u w:val="single"/>
        </w:rPr>
        <w:t xml:space="preserve">(i) Business travelers and residents of Central Puget Sound going to Vancouver, British Columbia;</w:t>
      </w:r>
    </w:p>
    <w:p>
      <w:pPr>
        <w:spacing w:before="0" w:after="0" w:line="408" w:lineRule="exact"/>
        <w:ind w:left="0" w:right="0" w:firstLine="576"/>
        <w:jc w:val="left"/>
      </w:pPr>
      <w:r>
        <w:rPr>
          <w:u w:val="single"/>
        </w:rPr>
        <w:t xml:space="preserve">(ii) Business travelers and residents of Central Puget Sound going to Portland;</w:t>
      </w:r>
    </w:p>
    <w:p>
      <w:pPr>
        <w:spacing w:before="0" w:after="0" w:line="408" w:lineRule="exact"/>
        <w:ind w:left="0" w:right="0" w:firstLine="576"/>
        <w:jc w:val="left"/>
      </w:pPr>
      <w:r>
        <w:rPr>
          <w:u w:val="single"/>
        </w:rPr>
        <w:t xml:space="preserve">(iii) Business travelers and residents of Vancouver, British Columbia going to Washington state;</w:t>
      </w:r>
    </w:p>
    <w:p>
      <w:pPr>
        <w:spacing w:before="0" w:after="0" w:line="408" w:lineRule="exact"/>
        <w:ind w:left="0" w:right="0" w:firstLine="576"/>
        <w:jc w:val="left"/>
      </w:pPr>
      <w:r>
        <w:rPr>
          <w:u w:val="single"/>
        </w:rPr>
        <w:t xml:space="preserve">(iv) Business travelers and residents of Portland going to Washington state;</w:t>
      </w:r>
    </w:p>
    <w:p>
      <w:pPr>
        <w:spacing w:before="0" w:after="0" w:line="408" w:lineRule="exact"/>
        <w:ind w:left="0" w:right="0" w:firstLine="576"/>
        <w:jc w:val="left"/>
      </w:pPr>
      <w:r>
        <w:rPr>
          <w:u w:val="single"/>
        </w:rPr>
        <w:t xml:space="preserve">(v) Nonresident tourists traveling via Washington state (other United States and international);</w:t>
      </w:r>
    </w:p>
    <w:p>
      <w:pPr>
        <w:spacing w:before="0" w:after="0" w:line="408" w:lineRule="exact"/>
        <w:ind w:left="0" w:right="0" w:firstLine="576"/>
        <w:jc w:val="left"/>
      </w:pPr>
      <w:r>
        <w:rPr>
          <w:u w:val="single"/>
        </w:rPr>
        <w:t xml:space="preserve">(c) Factors relevant to an ultra high-speed ground transportation system including, but not limited to, the following:</w:t>
      </w:r>
    </w:p>
    <w:p>
      <w:pPr>
        <w:spacing w:before="0" w:after="0" w:line="408" w:lineRule="exact"/>
        <w:ind w:left="0" w:right="0" w:firstLine="576"/>
        <w:jc w:val="left"/>
      </w:pPr>
      <w:r>
        <w:rPr>
          <w:u w:val="single"/>
        </w:rPr>
        <w:t xml:space="preserve">(i) System development:</w:t>
      </w:r>
    </w:p>
    <w:p>
      <w:pPr>
        <w:spacing w:before="0" w:after="0" w:line="408" w:lineRule="exact"/>
        <w:ind w:left="0" w:right="0" w:firstLine="576"/>
        <w:jc w:val="left"/>
      </w:pPr>
      <w:r>
        <w:rPr>
          <w:u w:val="single"/>
        </w:rPr>
        <w:t xml:space="preserve">(A) Corridor alignment and station stop scenarios;</w:t>
      </w:r>
    </w:p>
    <w:p>
      <w:pPr>
        <w:spacing w:before="0" w:after="0" w:line="408" w:lineRule="exact"/>
        <w:ind w:left="0" w:right="0" w:firstLine="576"/>
        <w:jc w:val="left"/>
      </w:pPr>
      <w:r>
        <w:rPr>
          <w:u w:val="single"/>
        </w:rPr>
        <w:t xml:space="preserve">(B) Service levels;</w:t>
      </w:r>
    </w:p>
    <w:p>
      <w:pPr>
        <w:spacing w:before="0" w:after="0" w:line="408" w:lineRule="exact"/>
        <w:ind w:left="0" w:right="0" w:firstLine="576"/>
        <w:jc w:val="left"/>
      </w:pPr>
      <w:r>
        <w:rPr>
          <w:u w:val="single"/>
        </w:rPr>
        <w:t xml:space="preserve">(C) Operations model;</w:t>
      </w:r>
    </w:p>
    <w:p>
      <w:pPr>
        <w:spacing w:before="0" w:after="0" w:line="408" w:lineRule="exact"/>
        <w:ind w:left="0" w:right="0" w:firstLine="576"/>
        <w:jc w:val="left"/>
      </w:pPr>
      <w:r>
        <w:rPr>
          <w:u w:val="single"/>
        </w:rPr>
        <w:t xml:space="preserve">(D) Technology options;</w:t>
      </w:r>
    </w:p>
    <w:p>
      <w:pPr>
        <w:spacing w:before="0" w:after="0" w:line="408" w:lineRule="exact"/>
        <w:ind w:left="0" w:right="0" w:firstLine="576"/>
        <w:jc w:val="left"/>
      </w:pPr>
      <w:r>
        <w:rPr>
          <w:u w:val="single"/>
        </w:rPr>
        <w:t xml:space="preserve">(E) Equipment needs;</w:t>
      </w:r>
    </w:p>
    <w:p>
      <w:pPr>
        <w:spacing w:before="0" w:after="0" w:line="408" w:lineRule="exact"/>
        <w:ind w:left="0" w:right="0" w:firstLine="576"/>
        <w:jc w:val="left"/>
      </w:pPr>
      <w:r>
        <w:rPr>
          <w:u w:val="single"/>
        </w:rPr>
        <w:t xml:space="preserve">(F) Regional modal connectivity;</w:t>
      </w:r>
    </w:p>
    <w:p>
      <w:pPr>
        <w:spacing w:before="0" w:after="0" w:line="408" w:lineRule="exact"/>
        <w:ind w:left="0" w:right="0" w:firstLine="576"/>
        <w:jc w:val="left"/>
      </w:pPr>
      <w:r>
        <w:rPr>
          <w:u w:val="single"/>
        </w:rPr>
        <w:t xml:space="preserve">(G) Organizational structure;</w:t>
      </w:r>
    </w:p>
    <w:p>
      <w:pPr>
        <w:spacing w:before="0" w:after="0" w:line="408" w:lineRule="exact"/>
        <w:ind w:left="0" w:right="0" w:firstLine="576"/>
        <w:jc w:val="left"/>
      </w:pPr>
      <w:r>
        <w:rPr>
          <w:u w:val="single"/>
        </w:rPr>
        <w:t xml:space="preserve">(ii) Ridership:</w:t>
      </w:r>
    </w:p>
    <w:p>
      <w:pPr>
        <w:spacing w:before="0" w:after="0" w:line="408" w:lineRule="exact"/>
        <w:ind w:left="0" w:right="0" w:firstLine="576"/>
        <w:jc w:val="left"/>
      </w:pPr>
      <w:r>
        <w:rPr>
          <w:u w:val="single"/>
        </w:rPr>
        <w:t xml:space="preserve">(A) Passenger profile and trip making;</w:t>
      </w:r>
    </w:p>
    <w:p>
      <w:pPr>
        <w:spacing w:before="0" w:after="0" w:line="408" w:lineRule="exact"/>
        <w:ind w:left="0" w:right="0" w:firstLine="576"/>
        <w:jc w:val="left"/>
      </w:pPr>
      <w:r>
        <w:rPr>
          <w:u w:val="single"/>
        </w:rPr>
        <w:t xml:space="preserve">(B) Congestion and system connectivity analysis;</w:t>
      </w:r>
    </w:p>
    <w:p>
      <w:pPr>
        <w:spacing w:before="0" w:after="0" w:line="408" w:lineRule="exact"/>
        <w:ind w:left="0" w:right="0" w:firstLine="576"/>
        <w:jc w:val="left"/>
      </w:pPr>
      <w:r>
        <w:rPr>
          <w:u w:val="single"/>
        </w:rPr>
        <w:t xml:space="preserve">(C) Comparative market analysis, including market share compared to other modes;</w:t>
      </w:r>
    </w:p>
    <w:p>
      <w:pPr>
        <w:spacing w:before="0" w:after="0" w:line="408" w:lineRule="exact"/>
        <w:ind w:left="0" w:right="0" w:firstLine="576"/>
        <w:jc w:val="left"/>
      </w:pPr>
      <w:r>
        <w:rPr>
          <w:u w:val="single"/>
        </w:rPr>
        <w:t xml:space="preserve">(iii) Economic framework and delivery methods:</w:t>
      </w:r>
    </w:p>
    <w:p>
      <w:pPr>
        <w:spacing w:before="0" w:after="0" w:line="408" w:lineRule="exact"/>
        <w:ind w:left="0" w:right="0" w:firstLine="576"/>
        <w:jc w:val="left"/>
      </w:pPr>
      <w:r>
        <w:rPr>
          <w:u w:val="single"/>
        </w:rPr>
        <w:t xml:space="preserve">(A) Public-private partnership scenarios;</w:t>
      </w:r>
    </w:p>
    <w:p>
      <w:pPr>
        <w:spacing w:before="0" w:after="0" w:line="408" w:lineRule="exact"/>
        <w:ind w:left="0" w:right="0" w:firstLine="576"/>
        <w:jc w:val="left"/>
      </w:pPr>
      <w:r>
        <w:rPr>
          <w:u w:val="single"/>
        </w:rPr>
        <w:t xml:space="preserve">(B) Benefit-cost analysis, including transportation costs, travel time, reliability, congestion costs, health and safety, and environmental costs;</w:t>
      </w:r>
    </w:p>
    <w:p>
      <w:pPr>
        <w:spacing w:before="0" w:after="0" w:line="408" w:lineRule="exact"/>
        <w:ind w:left="0" w:right="0" w:firstLine="576"/>
        <w:jc w:val="left"/>
      </w:pPr>
      <w:r>
        <w:rPr>
          <w:u w:val="single"/>
        </w:rPr>
        <w:t xml:space="preserve">(C) Economic benefit analysis by corridor segment;</w:t>
      </w:r>
    </w:p>
    <w:p>
      <w:pPr>
        <w:spacing w:before="0" w:after="0" w:line="408" w:lineRule="exact"/>
        <w:ind w:left="0" w:right="0" w:firstLine="576"/>
        <w:jc w:val="left"/>
      </w:pPr>
      <w:r>
        <w:rPr>
          <w:u w:val="single"/>
        </w:rPr>
        <w:t xml:space="preserve">(D) Fare level;</w:t>
      </w:r>
    </w:p>
    <w:p>
      <w:pPr>
        <w:spacing w:before="0" w:after="0" w:line="408" w:lineRule="exact"/>
        <w:ind w:left="0" w:right="0" w:firstLine="576"/>
        <w:jc w:val="left"/>
      </w:pPr>
      <w:r>
        <w:rPr>
          <w:u w:val="single"/>
        </w:rPr>
        <w:t xml:space="preserve">(E) Sensitivity analyses against alternative assumptions and external factors, such as gasoline prices;</w:t>
      </w:r>
    </w:p>
    <w:p>
      <w:pPr>
        <w:spacing w:before="0" w:after="0" w:line="408" w:lineRule="exact"/>
        <w:ind w:left="0" w:right="0" w:firstLine="576"/>
        <w:jc w:val="left"/>
      </w:pPr>
      <w:r>
        <w:rPr>
          <w:u w:val="single"/>
        </w:rPr>
        <w:t xml:space="preserve">(iv) Funding and financing:</w:t>
      </w:r>
    </w:p>
    <w:p>
      <w:pPr>
        <w:spacing w:before="0" w:after="0" w:line="408" w:lineRule="exact"/>
        <w:ind w:left="0" w:right="0" w:firstLine="576"/>
        <w:jc w:val="left"/>
      </w:pPr>
      <w:r>
        <w:rPr>
          <w:u w:val="single"/>
        </w:rPr>
        <w:t xml:space="preserve">(A) Potential future carbon fee and any other mechanisms used or proposed in the state;</w:t>
      </w:r>
    </w:p>
    <w:p>
      <w:pPr>
        <w:spacing w:before="0" w:after="0" w:line="408" w:lineRule="exact"/>
        <w:ind w:left="0" w:right="0" w:firstLine="576"/>
        <w:jc w:val="left"/>
      </w:pPr>
      <w:r>
        <w:rPr>
          <w:u w:val="single"/>
        </w:rPr>
        <w:t xml:space="preserve">(B) Financial responsibility and cost sharing model options;</w:t>
      </w:r>
    </w:p>
    <w:p>
      <w:pPr>
        <w:spacing w:before="0" w:after="0" w:line="408" w:lineRule="exact"/>
        <w:ind w:left="0" w:right="0" w:firstLine="576"/>
        <w:jc w:val="left"/>
      </w:pPr>
      <w:r>
        <w:rPr>
          <w:u w:val="single"/>
        </w:rPr>
        <w:t xml:space="preserve">(C) Farebox recovery estimates;</w:t>
      </w:r>
    </w:p>
    <w:p>
      <w:pPr>
        <w:spacing w:before="0" w:after="0" w:line="408" w:lineRule="exact"/>
        <w:ind w:left="0" w:right="0" w:firstLine="576"/>
        <w:jc w:val="left"/>
      </w:pPr>
      <w:r>
        <w:rPr>
          <w:u w:val="single"/>
        </w:rPr>
        <w:t xml:space="preserve">(D) Total revenue;</w:t>
      </w:r>
    </w:p>
    <w:p>
      <w:pPr>
        <w:spacing w:before="0" w:after="0" w:line="408" w:lineRule="exact"/>
        <w:ind w:left="0" w:right="0" w:firstLine="576"/>
        <w:jc w:val="left"/>
      </w:pPr>
      <w:r>
        <w:rPr>
          <w:u w:val="single"/>
        </w:rPr>
        <w:t xml:space="preserve">(d) Involvement of key representatives from communities and stakeholders from public and private sectors relevant to the analysis.</w:t>
      </w:r>
    </w:p>
    <w:p>
      <w:pPr>
        <w:spacing w:before="0" w:after="0" w:line="408" w:lineRule="exact"/>
        <w:ind w:left="0" w:right="0" w:firstLine="576"/>
        <w:jc w:val="left"/>
      </w:pPr>
      <w:r>
        <w:rPr>
          <w:u w:val="single"/>
        </w:rPr>
        <w:t xml:space="preserve">The department shall provide a report of its findings in this subsection (2)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tabs>
          <w:tab w:val="right" w:leader="none" w:pos="9936"/>
        </w:tabs>
        <w:ind w:left="0" w:right="0" w:firstLine="1440"/>
      </w:pPr>
      <w:r>
        <w:tab/>
      </w:r>
      <w:r>
        <w:rPr>
          <w:u w:val="single"/>
        </w:rPr>
        <w:t xml:space="preserve">$14,043,000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tabs>
          <w:tab w:val="right" w:leader="none" w:pos="9936"/>
        </w:tabs>
        <w:ind w:left="0" w:right="0" w:firstLine="1440"/>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r>
        <w:t>))</w:t>
      </w:r>
    </w:p>
    <w:p>
      <w:pPr>
        <w:spacing w:before="0" w:after="0" w:line="408" w:lineRule="exact"/>
        <w:ind w:left="0" w:right="0" w:firstLine="576"/>
        <w:jc w:val="left"/>
      </w:pPr>
      <w:r>
        <w:rPr/>
        <w:t xml:space="preserve">(4) $125,000 for the Whiskey Ridge generator shelter</w:t>
      </w:r>
      <w:r>
        <w:rPr>
          <w:u w:val="single"/>
        </w:rPr>
        <w:t xml:space="preserve">;</w:t>
      </w:r>
    </w:p>
    <w:p>
      <w:pPr>
        <w:spacing w:before="0" w:after="0" w:line="408" w:lineRule="exact"/>
        <w:ind w:left="0" w:right="0" w:firstLine="576"/>
        <w:jc w:val="left"/>
      </w:pPr>
      <w:r>
        <w:rPr>
          <w:u w:val="single"/>
        </w:rPr>
        <w:t xml:space="preserve">(5) $200,000 for replacement of the HVAC system at the state patrol academy in Shelton;</w:t>
      </w:r>
    </w:p>
    <w:p>
      <w:pPr>
        <w:spacing w:before="0" w:after="0" w:line="408" w:lineRule="exact"/>
        <w:ind w:left="0" w:right="0" w:firstLine="576"/>
        <w:jc w:val="left"/>
      </w:pPr>
      <w:r>
        <w:rPr>
          <w:u w:val="single"/>
        </w:rPr>
        <w:t xml:space="preserve">(6) $700,000 for repair of the training tank at the state patrol academy in Shelton; and</w:t>
      </w:r>
    </w:p>
    <w:p>
      <w:pPr>
        <w:spacing w:before="0" w:after="0" w:line="408" w:lineRule="exact"/>
        <w:ind w:left="0" w:right="0" w:firstLine="576"/>
        <w:jc w:val="left"/>
      </w:pPr>
      <w:r>
        <w:rPr>
          <w:u w:val="single"/>
        </w:rPr>
        <w:t xml:space="preserve">(7)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$23,051,000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$33,138,000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 $3,400,000 of the motor vehicle account</w:t>
      </w:r>
      <w:r>
        <w:rPr>
          <w:rFonts w:ascii="Times New Roman" w:hAnsi="Times New Roman"/>
          <w:u w:val="single"/>
        </w:rPr>
        <w:t xml:space="preserve">—</w:t>
      </w:r>
      <w:r>
        <w:rPr>
          <w:u w:val="single"/>
        </w:rPr>
        <w:t xml:space="preserve">state appropriation is provided solely for design, project management, demolition, bid documents, permits and other planning activities necessary for the renovation of the facility located at 15700 Dayton Ave N in Shoreline to be ready to proceed. After renovation, the building will be occupied by the department of transportation, department of licensing, and department of ecology. The cost of construction will be shared by these agencies. The department of transportation, department of licensing, and department of ecology must consult with the office of financial management in all phases of the project.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$688,054,000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$48,330,000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$1,315,074,000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$51,457,000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$13,258,000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$2,589,926,000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$489,986,000</w:t>
      </w:r>
      <w:r>
        <w:rPr/>
        <w:t xml:space="preserve"> in proceeds from the sale of bonds authorized in RCW 47.10.889. </w:t>
      </w:r>
      <w:r>
        <w:rPr>
          <w:u w:val="single"/>
        </w:rPr>
        <w:t xml:space="preserve">Of the amounts provided, up to $100,000,000 in proceeds is intended for projects constructed using the design-build methodology.</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$51,457,000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$484,547,000</w:t>
      </w:r>
      <w:r>
        <w:rPr/>
        <w:t xml:space="preserve">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w:t>
      </w:r>
      <w:r>
        <w:rPr>
          <w:u w:val="single"/>
        </w:rPr>
        <w:t xml:space="preserve">The motor vehicle account</w:t>
      </w:r>
      <w:r>
        <w:rPr>
          <w:rFonts w:ascii="Times New Roman" w:hAnsi="Times New Roman"/>
          <w:u w:val="single"/>
        </w:rPr>
        <w:t xml:space="preserve">—</w:t>
      </w:r>
      <w:r>
        <w:rPr>
          <w:u w:val="single"/>
        </w:rPr>
        <w:t xml:space="preserve">state appropriation includes up to $69,997,000 in proceeds from the sale of bonds authorized in RCW 47.10.843.</w:t>
      </w:r>
    </w:p>
    <w:p>
      <w:pPr>
        <w:spacing w:before="0" w:after="0" w:line="408" w:lineRule="exact"/>
        <w:ind w:left="0" w:right="0" w:firstLine="576"/>
        <w:jc w:val="left"/>
      </w:pPr>
      <w:r>
        <w:rPr>
          <w:u w:val="single"/>
        </w:rPr>
        <w:t xml:space="preserve">(9) The special category C account</w:t>
      </w:r>
      <w:r>
        <w:rPr>
          <w:rFonts w:ascii="Times New Roman" w:hAnsi="Times New Roman"/>
          <w:u w:val="single"/>
        </w:rPr>
        <w:t xml:space="preserve">—</w:t>
      </w:r>
      <w:r>
        <w:rPr>
          <w:u w:val="single"/>
        </w:rPr>
        <w:t xml:space="preserve">state appropriation includes up to $1,726,000 in proceeds from the sale of bonds authorized in RCW 47.10.801.</w:t>
      </w:r>
    </w:p>
    <w:p>
      <w:pPr>
        <w:spacing w:before="0" w:after="0" w:line="408" w:lineRule="exact"/>
        <w:ind w:left="0" w:right="0" w:firstLine="576"/>
        <w:jc w:val="left"/>
      </w:pPr>
      <w:r>
        <w:rPr>
          <w:u w:val="single"/>
        </w:rPr>
        <w:t xml:space="preserve">(10)</w:t>
      </w:r>
      <w:r>
        <w:rPr/>
        <w:t xml:space="preserve"> </w:t>
      </w:r>
      <w:r>
        <w:t>((</w:t>
      </w:r>
      <w:r>
        <w:rPr>
          <w:strike/>
        </w:rPr>
        <w:t xml:space="preserve">$159,407,000</w:t>
      </w:r>
      <w:r>
        <w:t>))</w:t>
      </w:r>
      <w:r>
        <w:rPr/>
        <w:t xml:space="preserve"> </w:t>
      </w:r>
      <w:r>
        <w:rPr>
          <w:u w:val="single"/>
        </w:rPr>
        <w:t xml:space="preserve">$194,258,000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$5,744,000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$146,000</w:t>
      </w:r>
      <w:r>
        <w:t>))</w:t>
      </w:r>
      <w:r>
        <w:rPr/>
        <w:t xml:space="preserve"> </w:t>
      </w:r>
      <w:r>
        <w:rPr>
          <w:u w:val="single"/>
        </w:rPr>
        <w:t xml:space="preserve">$6,000,000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2019</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(18)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(19)</w:t>
      </w:r>
      <w:r>
        <w:t>))</w:t>
      </w:r>
      <w:r>
        <w:rPr/>
        <w:t xml:space="preserve"> </w:t>
      </w:r>
      <w:r>
        <w:rPr>
          <w:u w:val="single"/>
        </w:rPr>
        <w:t xml:space="preserve">(21)</w:t>
      </w:r>
      <w:r>
        <w:rPr/>
        <w:t xml:space="preserve">(b) and (c) </w:t>
      </w:r>
      <w:r>
        <w:t>((</w:t>
      </w:r>
      <w:r>
        <w:rPr>
          <w:strike/>
        </w:rPr>
        <w:t xml:space="preserve">of this subsection</w:t>
      </w:r>
      <w:r>
        <w:t>))</w:t>
      </w:r>
      <w:r>
        <w:rPr/>
        <w:t xml:space="preserve">.</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the funds must be applied toward the completion of these two full single-point urban interchanges.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(21) $600,000</w:t>
      </w:r>
      <w:r>
        <w:t>))</w:t>
      </w:r>
      <w:r>
        <w:rPr/>
        <w:t xml:space="preserve"> </w:t>
      </w:r>
      <w:r>
        <w:rPr>
          <w:u w:val="single"/>
        </w:rPr>
        <w:t xml:space="preserve">(23)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(23)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It is the intent of the legislature that for the I-5/Slater Road Interchange - Improvements project (L1000099), $2,000,000 of connecting Washington account</w:t>
      </w:r>
      <w:r>
        <w:rPr>
          <w:rFonts w:ascii="Times New Roman" w:hAnsi="Times New Roman"/>
        </w:rPr>
        <w:t xml:space="preserve">—</w:t>
      </w:r>
      <w:r>
        <w:rPr/>
        <w:t xml:space="preserve">state funds be added in the 2021-2023 fiscal biennium and $10,100,000 of connecting Washington account</w:t>
      </w:r>
      <w:r>
        <w:rPr>
          <w:rFonts w:ascii="Times New Roman" w:hAnsi="Times New Roman"/>
        </w:rPr>
        <w:t xml:space="preserve">—</w:t>
      </w:r>
      <w:r>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(32)(a) Greater use of design-build project delivery is expected to result in more efficient project delivery. Therefore, for design-build projects funded as part of the 2015 connecting Washington transportation package listed on the OFM transportation document identified in subsection (1) of this section, if the design-build project requires funding above the amount identified, the department may apply funding from projects with an appropriation that cannot be used for the current fiscal biennium. If the department does not expect to have unneeded appropriation authority in the current fiscal biennium, the department may request the sale of up to $100,000,000 in additional bonds as authorized in subsection (5) of this section.</w:t>
      </w:r>
    </w:p>
    <w:p>
      <w:pPr>
        <w:spacing w:before="0" w:after="0" w:line="408" w:lineRule="exact"/>
        <w:ind w:left="0" w:right="0" w:firstLine="576"/>
        <w:jc w:val="left"/>
      </w:pPr>
      <w:r>
        <w:rPr>
          <w:u w:val="single"/>
        </w:rPr>
        <w:t xml:space="preserve">(b) At least ten business days before advancing a project or requesting the sale of additional bonds pursuant to this subsection, the department must notify the office of financial management and the transportation committees of the legislature. The notification must include the project being advanced and the project or projects with unused appropriation authority being used to advance the project. The advancement of a project may not hinder the delivery of the projects for which reappropriations are necessary for the 2019-2021 fiscal biennium.</w:t>
      </w:r>
    </w:p>
    <w:p>
      <w:pPr>
        <w:spacing w:before="0" w:after="0" w:line="408" w:lineRule="exact"/>
        <w:ind w:left="0" w:right="0" w:firstLine="576"/>
        <w:jc w:val="left"/>
      </w:pPr>
      <w:r>
        <w:rPr>
          <w:u w:val="single"/>
        </w:rPr>
        <w:t xml:space="preserve">(33) The department, in coordination with the University of Washington department of mechanical engineering, must study measures to reduce noise impacts from bridge expansion joints. The study must examine testing methodologies and project timelines and costs. A final report must be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$63,691,000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$204,706,000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$803,000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$56,991,000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$925,831,000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$9,310,000</w:t>
      </w:r>
      <w:r>
        <w:rPr/>
        <w:t xml:space="preserve"> in proceeds from the sale of bonds authorized in RCW 47.10.861.</w:t>
      </w:r>
    </w:p>
    <w:p>
      <w:pPr>
        <w:spacing w:before="0" w:after="0" w:line="408" w:lineRule="exact"/>
        <w:ind w:left="0" w:right="0" w:firstLine="576"/>
        <w:jc w:val="left"/>
      </w:pPr>
      <w:r>
        <w:rPr/>
        <w:t xml:space="preserve">(6) </w:t>
      </w:r>
      <w:r>
        <w:t>((</w:t>
      </w:r>
      <w:r>
        <w:rPr>
          <w:strike/>
        </w:rPr>
        <w:t xml:space="preserve">$7,200,000</w:t>
      </w:r>
      <w:r>
        <w:t>))</w:t>
      </w:r>
      <w:r>
        <w:rPr/>
        <w:t xml:space="preserve"> </w:t>
      </w:r>
      <w:r>
        <w:rPr>
          <w:u w:val="single"/>
        </w:rPr>
        <w:t xml:space="preserve">$11,551,000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w:t>
      </w:r>
      <w:r>
        <w:t>((</w:t>
      </w:r>
      <w:r>
        <w:rPr>
          <w:strike/>
        </w:rPr>
        <w:t xml:space="preserve">$22,620,000</w:t>
      </w:r>
      <w:r>
        <w:t>))</w:t>
      </w:r>
      <w:r>
        <w:rPr/>
        <w:t xml:space="preserve"> </w:t>
      </w:r>
      <w:r>
        <w:rPr>
          <w:u w:val="single"/>
        </w:rPr>
        <w:t xml:space="preserve">$20,755,000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$792,000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2019</w:t>
      </w:r>
      <w:r>
        <w:rPr/>
        <w:t xml:space="preserve">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(15) The motor vehicle account</w:t>
      </w:r>
      <w:r>
        <w:rPr>
          <w:rFonts w:ascii="Times New Roman" w:hAnsi="Times New Roman"/>
          <w:u w:val="single"/>
        </w:rPr>
        <w:t xml:space="preserve">—</w:t>
      </w:r>
      <w:r>
        <w:rPr>
          <w:u w:val="single"/>
        </w:rPr>
        <w:t xml:space="preserve">state appropriation includes up to $3,003,000 in proceeds from the sale of bonds authorized in RCW 47.10.843.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$6,596,000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$75,074,000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$136,765,000</w:t>
      </w:r>
    </w:p>
    <w:p>
      <w:pPr>
        <w:tabs>
          <w:tab w:val="right" w:leader="dot" w:pos="9936"/>
        </w:tabs>
        <w:ind w:left="0" w:right="0" w:firstLine="1440"/>
      </w:pPr>
      <w:r>
        <w:rPr/>
        <w:t xml:space="preserve">TOTAL APPROPRIATION</w:t>
      </w:r>
      <w:r>
        <w:tab/>
      </w:r>
      <w:r>
        <w:rPr>
          <w:strike/>
        </w:rPr>
        <w:t xml:space="preserve">$374,176,000</w:t>
      </w:r>
    </w:p>
    <w:p>
      <w:pPr>
        <w:tabs>
          <w:tab w:val="right" w:leader="none" w:pos="9936"/>
        </w:tabs>
        <w:ind w:left="0" w:right="0" w:firstLine="1440"/>
      </w:pPr>
      <w:r>
        <w:tab/>
      </w:r>
      <w:r>
        <w:rPr>
          <w:u w:val="single"/>
        </w:rPr>
        <w:t xml:space="preserve">$453,893,000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$63,804,000</w:t>
      </w:r>
      <w:r>
        <w:t>))</w:t>
      </w:r>
      <w:r>
        <w:rPr/>
        <w:t xml:space="preserve"> </w:t>
      </w:r>
      <w:r>
        <w:rPr>
          <w:u w:val="single"/>
        </w:rPr>
        <w:t xml:space="preserve">$44,228,000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$46,619,000</w:t>
      </w:r>
      <w:r>
        <w:rPr/>
        <w:t xml:space="preserve"> of the connecting Washington account</w:t>
      </w:r>
      <w:r>
        <w:rPr>
          <w:rFonts w:ascii="Times New Roman" w:hAnsi="Times New Roman"/>
        </w:rPr>
        <w:t xml:space="preserve">—</w:t>
      </w:r>
      <w:r>
        <w:rPr/>
        <w:t xml:space="preserve">state appropriation, and </w:t>
      </w:r>
      <w:r>
        <w:t>((</w:t>
      </w:r>
      <w:r>
        <w:rPr>
          <w:strike/>
        </w:rPr>
        <w:t xml:space="preserve">$15,554,000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The department of transportation must apply to the department of ecology for grants funded by the Volkswagen "clean diesel" marketing, sales practice, and products liability litigation settlement. The department must apply for funding for projects that electrify public-sector ferries and for shore power projects. The department must work with the department of ecology to select projects for funding.</w:t>
      </w:r>
    </w:p>
    <w:p>
      <w:pPr>
        <w:spacing w:before="0" w:after="0" w:line="408" w:lineRule="exact"/>
        <w:ind w:left="0" w:right="0" w:firstLine="576"/>
        <w:jc w:val="left"/>
      </w:pPr>
      <w:r>
        <w:rPr>
          <w:u w:val="single"/>
        </w:rPr>
        <w:t xml:space="preserve">(8) $600,000 of the Puget Sound capital construction account</w:t>
      </w:r>
      <w:r>
        <w:rPr>
          <w:rFonts w:ascii="Times New Roman" w:hAnsi="Times New Roman"/>
          <w:u w:val="single"/>
        </w:rPr>
        <w:t xml:space="preserve">—</w:t>
      </w:r>
      <w:r>
        <w:rPr>
          <w:u w:val="single"/>
        </w:rPr>
        <w:t xml:space="preserve">state appropriation is provided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$71,407,000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tabs>
          <w:tab w:val="right" w:leader="none" w:pos="9936"/>
        </w:tabs>
        <w:ind w:left="0" w:right="0" w:firstLine="1440"/>
      </w:pPr>
      <w:r>
        <w:tab/>
      </w:r>
      <w:r>
        <w:rPr>
          <w:u w:val="single"/>
        </w:rPr>
        <w:t xml:space="preserve">$139,641,000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t xml:space="preserve"> </w:t>
      </w:r>
      <w:r>
        <w:rPr>
          <w:u w:val="single"/>
        </w:rPr>
        <w:t xml:space="preserve">$422,000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w:t>
      </w:r>
      <w:r>
        <w:t>((</w:t>
      </w:r>
      <w:r>
        <w:rPr>
          <w:strike/>
        </w:rPr>
        <w:t xml:space="preserve">in this subsection</w:t>
      </w:r>
      <w:r>
        <w:t>))</w:t>
      </w:r>
      <w:r>
        <w:rPr/>
        <w:t xml:space="preserve"> may not exceed the </w:t>
      </w:r>
      <w:r>
        <w:t>((</w:t>
      </w:r>
      <w:r>
        <w:rPr>
          <w:strike/>
        </w:rPr>
        <w:t xml:space="preserve">combined total of:</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evenues deposited into the essential rail assistance account </w:t>
      </w:r>
      <w:r>
        <w:t>((</w:t>
      </w:r>
      <w:r>
        <w:rPr>
          <w:strike/>
        </w:rPr>
        <w:t xml:space="preserve">from leases and sale of property pursuant to RCW 47.76.290; and</w:t>
      </w:r>
    </w:p>
    <w:p>
      <w:pPr>
        <w:spacing w:before="0" w:after="0" w:line="408" w:lineRule="exact"/>
        <w:ind w:left="0" w:right="0" w:firstLine="576"/>
        <w:jc w:val="left"/>
      </w:pPr>
      <w:r>
        <w:rPr>
          <w:strike/>
        </w:rPr>
        <w:t xml:space="preserve">(ii) Revenues transferred from the miscellaneous program account to the essential rail assistance account, pursuant to RCW 47.76.360, for the purpose of sustaining the grain train program by maintaining the Palouse river and Coulee City railroad</w:t>
      </w:r>
      <w:r>
        <w:t>))</w:t>
      </w:r>
      <w:r>
        <w:rPr/>
        <w:t xml:space="preserve">.</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$15,724,000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$134,387,000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$77,577,000</w:t>
      </w:r>
    </w:p>
    <w:p>
      <w:pPr>
        <w:tabs>
          <w:tab w:val="right" w:leader="dot" w:pos="9936"/>
        </w:tabs>
        <w:ind w:left="0" w:right="0" w:firstLine="1440"/>
      </w:pPr>
      <w:r>
        <w:rPr/>
        <w:t xml:space="preserve">TOTAL APPROPRIATION</w:t>
      </w:r>
      <w:r>
        <w:tab/>
      </w:r>
      <w:r>
        <w:rPr>
          <w:strike/>
        </w:rPr>
        <w:t xml:space="preserve">$276,681,000</w:t>
      </w:r>
    </w:p>
    <w:p>
      <w:pPr>
        <w:tabs>
          <w:tab w:val="right" w:leader="none" w:pos="9936"/>
        </w:tabs>
        <w:ind w:left="0" w:right="0" w:firstLine="1440"/>
      </w:pPr>
      <w:r>
        <w:tab/>
      </w:r>
      <w:r>
        <w:rPr>
          <w:u w:val="single"/>
        </w:rPr>
        <w:t xml:space="preserve">$325,481,000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$30,484,000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$800,000 of the motor vehicle account</w:t>
      </w:r>
      <w:r>
        <w:rPr>
          <w:rFonts w:ascii="Times New Roman" w:hAnsi="Times New Roman"/>
          <w:u w:val="single"/>
        </w:rPr>
        <w:t xml:space="preserve">—</w:t>
      </w:r>
      <w:r>
        <w:rPr>
          <w:u w:val="single"/>
        </w:rPr>
        <w:t xml:space="preserve">state appropriation is provided solely for design and construction of the Redmond Ridge NE and NE Alder Crest Drive roundabout.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an update to the report provided to the legislature in </w:t>
      </w:r>
      <w:r>
        <w:t>((</w:t>
      </w:r>
      <w:r>
        <w:rPr>
          <w:strike/>
        </w:rPr>
        <w:t xml:space="preserve">2017</w:t>
      </w:r>
      <w:r>
        <w:t>))</w:t>
      </w:r>
      <w:r>
        <w:rPr/>
        <w:t xml:space="preserve"> </w:t>
      </w:r>
      <w:r>
        <w:rPr>
          <w:u w:val="single"/>
        </w:rPr>
        <w:t xml:space="preserve">2018</w:t>
      </w:r>
      <w:r>
        <w:rPr/>
        <w:t xml:space="preserve">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$365,000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$2,228,000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$1,950,000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$1,233,480,000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$86,193,000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$211,000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$1,393,172,000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$390,000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$46,000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$505,523,000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$2,154,511,000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$219,677,000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$21,221,000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$42,000,000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$56,464,000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$1,305,000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$39,000,000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$26,500,000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pPr>
      <w:r>
        <w:rPr>
          <w:u w:val="single"/>
        </w:rPr>
        <w:t xml:space="preserve">(27) Connecting Washington Account</w:t>
      </w:r>
      <w:r>
        <w:rPr>
          <w:rFonts w:ascii="Times New Roman" w:hAnsi="Times New Roman"/>
          <w:u w:val="single"/>
        </w:rPr>
        <w:t xml:space="preserve">—</w:t>
      </w:r>
      <w:r>
        <w:rPr>
          <w:u w:val="single"/>
        </w:rPr>
        <w:t xml:space="preserve">State</w:t>
      </w:r>
      <w:r>
        <w:rPr>
          <w:u w:val="single"/>
        </w:rPr>
        <w:t xml:space="preserve"> Appropriation:</w:t>
      </w:r>
    </w:p>
    <w:p>
      <w:pPr>
        <w:spacing w:before="0" w:after="0" w:line="408" w:lineRule="exact"/>
        <w:ind w:left="0" w:right="0" w:firstLine="0"/>
        <w:jc w:val="left"/>
        <w:tabs>
          <w:tab w:val="right" w:leader="dot" w:pos="9936"/>
        </w:tabs>
      </w:pPr>
      <w:r>
        <w:rPr>
          <w:u w:val="single"/>
        </w:rPr>
        <w:t xml:space="preserve">For transfer to the Motor Vehicle</w:t>
      </w:r>
      <w:r>
        <w:rPr>
          <w:u w:val="single"/>
        </w:rPr>
        <w:t xml:space="preserve"> Account</w:t>
      </w:r>
      <w:r>
        <w:rPr>
          <w:rFonts w:ascii="Times New Roman" w:hAnsi="Times New Roman"/>
          <w:u w:val="single"/>
        </w:rPr>
        <w:t xml:space="preserve">—</w:t>
      </w:r>
      <w:r>
        <w:rPr>
          <w:u w:val="single"/>
        </w:rPr>
        <w:t xml:space="preserve">State</w:t>
      </w:r>
      <w:r>
        <w:tab/>
      </w:r>
      <w:r>
        <w:rPr>
          <w:u w:val="single"/>
        </w:rPr>
        <w:t xml:space="preserve">$13,000,000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604</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0" w:after="0" w:line="408" w:lineRule="exact"/>
        <w:ind w:left="0" w:right="0" w:firstLine="576"/>
        <w:jc w:val="left"/>
      </w:pPr>
      <w:r>
        <w:rPr>
          <w:u w:val="single"/>
        </w:rPr>
        <w:t xml:space="preserve">(3) Within existing resources, the department shall upgrade lane and road striping treatments and signage to improve roadway delineation in support of existing safety technology features incorporated into newer vehicles as well as additional features anticipated with future connected and autonomous vehicle technology. No more than $5,000,000 shall be used for improved signage through routine sign upgrades performed by traffic operations, improved roadway striping and signing through routine striping and signing performed by maintenance, reapplication of striping and signing that accompanies roadway and bridge preservation work, and new striping and signing applied on road improvement projects; including both final lane configurations as well as interim traffic alignments.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0a53b9093b40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e0962333441ab" /><Relationship Type="http://schemas.openxmlformats.org/officeDocument/2006/relationships/footer" Target="/word/footer.xml" Id="Rb10a53b9093b408a" /></Relationships>
</file>