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9698aee5bc4e69" /></Relationships>
</file>

<file path=word/document.xml><?xml version="1.0" encoding="utf-8"?>
<w:document xmlns:w="http://schemas.openxmlformats.org/wordprocessingml/2006/main">
  <w:body>
    <w:p>
      <w:r>
        <w:t>S-4924.1</w:t>
      </w:r>
    </w:p>
    <w:p>
      <w:pPr>
        <w:jc w:val="center"/>
      </w:pPr>
      <w:r>
        <w:t>_______________________________________________</w:t>
      </w:r>
    </w:p>
    <w:p/>
    <w:p>
      <w:pPr>
        <w:jc w:val="center"/>
      </w:pPr>
      <w:r>
        <w:rPr>
          <w:b/>
        </w:rPr>
        <w:t>SUBSTITUTE SENATE BILL 6110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Saldaña, Walsh, Darneille, Frockt, Zeiger, Van De Wege, Keiser, Hunt, Kuderer, Pedersen, Hasegawa, and Billig)</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employers from asking about arrests or convictions before an applicant is determined otherwise qualified for a position; adding a new chapter to Title 49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(c) Employment by a general or limited authority Washington law enforcement agency as defined in RCW 10.93.020 or by a criminal justice agency as defined in RCW 10.97.030(5)(b);</w:t>
      </w:r>
    </w:p>
    <w:p>
      <w:pPr>
        <w:spacing w:before="0" w:after="0" w:line="408" w:lineRule="exact"/>
        <w:ind w:left="0" w:right="0" w:firstLine="576"/>
        <w:jc w:val="left"/>
      </w:pPr>
      <w:r>
        <w:rPr/>
        <w:t xml:space="preserve">(d) An employer seeking a nonemployee volunteer; or</w:t>
      </w:r>
    </w:p>
    <w:p>
      <w:pPr>
        <w:spacing w:before="0" w:after="0" w:line="408" w:lineRule="exact"/>
        <w:ind w:left="0" w:right="0" w:firstLine="576"/>
        <w:jc w:val="left"/>
      </w:pPr>
      <w:r>
        <w:rPr/>
        <w:t xml:space="preserve">(e) Any entity required to comply with the rules or regulations of a self-regulatory organization, as defined in section 3(a)(26) of the securities and exchange act of 1934, 15 U.S.C. 78c(a)(26).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interfere with local government laws that provide additional protections to applicants or employees with criminal records, nor does it prohibit local governments from enacting greater protections for such applicants or employees in the future. Local government laws that provide lesser protections to job applicants with criminal records than this chapter conflict with this chapter and may not be enforced.</w:t>
      </w:r>
    </w:p>
    <w:p>
      <w:pPr>
        <w:spacing w:before="0" w:after="0" w:line="408" w:lineRule="exact"/>
        <w:ind w:left="0" w:right="0" w:firstLine="576"/>
        <w:jc w:val="left"/>
      </w:pPr>
      <w:r>
        <w:rPr/>
        <w:t xml:space="preserve">(6)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facilitate any investigation into allegations of violating this chapter, employers shall retain the following records for three years:</w:t>
      </w:r>
    </w:p>
    <w:p>
      <w:pPr>
        <w:spacing w:before="0" w:after="0" w:line="408" w:lineRule="exact"/>
        <w:ind w:left="0" w:right="0" w:firstLine="576"/>
        <w:jc w:val="left"/>
      </w:pPr>
      <w:r>
        <w:rPr/>
        <w:t xml:space="preserve">(a) All hiring policies effective at any time during the three years preceding the charge;</w:t>
      </w:r>
    </w:p>
    <w:p>
      <w:pPr>
        <w:spacing w:before="0" w:after="0" w:line="408" w:lineRule="exact"/>
        <w:ind w:left="0" w:right="0" w:firstLine="576"/>
        <w:jc w:val="left"/>
      </w:pPr>
      <w:r>
        <w:rPr/>
        <w:t xml:space="preserve">(b) Any and all policies and procedures regarding conducting or using criminal background checks; and</w:t>
      </w:r>
    </w:p>
    <w:p>
      <w:pPr>
        <w:spacing w:before="0" w:after="0" w:line="408" w:lineRule="exact"/>
        <w:ind w:left="0" w:right="0" w:firstLine="576"/>
        <w:jc w:val="left"/>
      </w:pPr>
      <w:r>
        <w:rPr/>
        <w:t xml:space="preserve">(c) All job postings, and each version of any job applications utilized. Applications of individuals hired shall serve as a representative sample of the application for each position.</w:t>
      </w:r>
    </w:p>
    <w:p>
      <w:pPr>
        <w:spacing w:before="0" w:after="0" w:line="408" w:lineRule="exact"/>
        <w:ind w:left="0" w:right="0" w:firstLine="576"/>
        <w:jc w:val="left"/>
      </w:pPr>
      <w:r>
        <w:rPr/>
        <w:t xml:space="preserve">(2) No local government may adopt more stringent record retention requirements, for ordinances dealing with the subject matter of this chapter, except that any such local government ordinance or regulation in existence on the effective date of this section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7,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63f15956d25445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1ed4e739ea455e" /><Relationship Type="http://schemas.openxmlformats.org/officeDocument/2006/relationships/footer" Target="/word/footer.xml" Id="R63f15956d25445e5" /></Relationships>
</file>