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40bdc49e94466" /></Relationships>
</file>

<file path=word/document.xml><?xml version="1.0" encoding="utf-8"?>
<w:document xmlns:w="http://schemas.openxmlformats.org/wordprocessingml/2006/main">
  <w:body>
    <w:p>
      <w:r>
        <w:t>S-3865.2</w:t>
      </w:r>
    </w:p>
    <w:p>
      <w:pPr>
        <w:jc w:val="center"/>
      </w:pPr>
      <w:r>
        <w:t>_______________________________________________</w:t>
      </w:r>
    </w:p>
    <w:p/>
    <w:p>
      <w:pPr>
        <w:jc w:val="center"/>
      </w:pPr>
      <w:r>
        <w:rPr>
          <w:b/>
        </w:rPr>
        <w:t>SUBSTITUTE SENATE BILL 6116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Human Services &amp; Corrections (originally sponsored by Senators Darneille, Keiser, and Chase)</w:t>
      </w:r>
    </w:p>
    <w:p/>
    <w:p>
      <w:r>
        <w:rPr>
          <w:t xml:space="preserve">READ FIRST TIME 01/25/18.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eligibility and benefits under certain economic services programs; amending RCW 43.185C.220 and 74.04.805;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2015 c 128 s 5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w:t>
      </w:r>
      <w:r>
        <w:t>((</w:t>
      </w:r>
      <w:r>
        <w:rPr>
          <w:strike/>
        </w:rPr>
        <w:t xml:space="preserve">and the biennial operating budget</w:t>
      </w:r>
      <w:r>
        <w:t>))</w:t>
      </w:r>
      <w:r>
        <w:rPr/>
        <w:t xml:space="preserve">. The first distribution of funds must be completed by September 1, 2011. Essential needs or housing support is only for persons found eligible for such services under RCW 74.04.805 </w:t>
      </w:r>
      <w:r>
        <w:t>((</w:t>
      </w:r>
      <w:r>
        <w:rPr>
          <w:strike/>
        </w:rPr>
        <w:t xml:space="preserve">and is not considered an entitlement</w:t>
      </w:r>
      <w:r>
        <w:t>))</w:t>
      </w:r>
      <w:r>
        <w:rPr/>
        <w:t xml:space="preserve">.</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w:t>
      </w:r>
      <w:r>
        <w:t>((</w:t>
      </w:r>
      <w:r>
        <w:rPr>
          <w:strike/>
        </w:rPr>
        <w:t xml:space="preserve">shall be designated in the biennial operating budget</w:t>
      </w:r>
      <w:r>
        <w:t>))</w:t>
      </w:r>
      <w:r>
        <w:rPr/>
        <w:t xml:space="preserve"> </w:t>
      </w:r>
      <w:r>
        <w:rPr>
          <w:u w:val="single"/>
        </w:rPr>
        <w:t xml:space="preserve">must be as appropriated in the omnibus appropriations act</w:t>
      </w:r>
      <w:r>
        <w:rPr/>
        <w:t xml:space="preserve">.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w:t>
      </w:r>
      <w:r>
        <w:t>((</w:t>
      </w:r>
      <w:r>
        <w:rPr>
          <w:strike/>
        </w:rPr>
        <w:t xml:space="preserve">(a) During the 2011-2013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strike/>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strike/>
        </w:rPr>
        <w:t xml:space="preserve">(4)</w:t>
      </w:r>
      <w:r>
        <w:t>))</w:t>
      </w:r>
      <w:r>
        <w:rPr/>
        <w:t xml:space="preserve"> For each county, the department shall designate an essential needs support entity and a housing support entity that will begin providing these supports to medical care services program recipients on November 1, 2011. </w:t>
      </w:r>
      <w:r>
        <w:t>((</w:t>
      </w:r>
      <w:r>
        <w:rPr>
          <w:strike/>
        </w:rPr>
        <w:t xml:space="preserve">Essential needs and housing support entities are not required to provide assistance to every person referred to the local entity or who meets the priority standards in subsection (3) of this section.</w:t>
      </w:r>
      <w:r>
        <w:t>))</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t>((</w:t>
      </w:r>
      <w:r>
        <w:rPr>
          <w:strike/>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w:t>
      </w:r>
      <w:r>
        <w:t>((</w:t>
      </w:r>
      <w:r>
        <w:rPr>
          <w:strike/>
        </w:rPr>
        <w:t xml:space="preserve">operating budget</w:t>
      </w:r>
      <w:r>
        <w:t>))</w:t>
      </w:r>
      <w:r>
        <w:rPr/>
        <w:t xml:space="preserve"> </w:t>
      </w:r>
      <w:r>
        <w:rPr>
          <w:u w:val="single"/>
        </w:rPr>
        <w:t xml:space="preserve">omnibus appropriations act</w:t>
      </w:r>
      <w:r>
        <w:rPr/>
        <w:t xml:space="preserve"> for essential needs and housing support must be used only to serve persons eligible to receive services under that program.</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w:t>
      </w:r>
      <w:r>
        <w:rPr>
          <w:u w:val="single"/>
        </w:rPr>
        <w:t xml:space="preserve">Persons found to be eligible are entitled to services as provided in RCW 43.185C.220.</w:t>
      </w:r>
      <w:r>
        <w:rPr/>
        <w:t xml:space="preserve">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The aged, blind, or disabled assistance program;</w:t>
      </w:r>
    </w:p>
    <w:p>
      <w:pPr>
        <w:spacing w:before="0" w:after="0" w:line="408" w:lineRule="exact"/>
        <w:ind w:left="0" w:right="0" w:firstLine="576"/>
        <w:jc w:val="left"/>
      </w:pPr>
      <w:r>
        <w:rPr/>
        <w:t xml:space="preserve">(ii) The pregnant women assistance program; or</w:t>
      </w:r>
    </w:p>
    <w:p>
      <w:pPr>
        <w:spacing w:before="0" w:after="0" w:line="408" w:lineRule="exact"/>
        <w:ind w:left="0" w:right="0" w:firstLine="576"/>
        <w:jc w:val="left"/>
      </w:pPr>
      <w:r>
        <w:rPr/>
        <w:t xml:space="preserve">(iii) Federal aid assistance, other than basic food benefits transferred electronically and medical assistance.</w:t>
      </w:r>
    </w:p>
    <w:p>
      <w:pPr>
        <w:spacing w:before="0" w:after="0" w:line="408" w:lineRule="exact"/>
        <w:ind w:left="0" w:right="0" w:firstLine="576"/>
        <w:jc w:val="left"/>
      </w:pPr>
      <w:r>
        <w:rPr/>
        <w:t xml:space="preserve">(2) The following persons are not eligible for a referral for essential needs and housing support:</w:t>
      </w:r>
    </w:p>
    <w:p>
      <w:pPr>
        <w:spacing w:before="0" w:after="0" w:line="408" w:lineRule="exact"/>
        <w:ind w:left="0" w:right="0" w:firstLine="576"/>
        <w:jc w:val="left"/>
      </w:pPr>
      <w:r>
        <w:rPr/>
        <w:t xml:space="preserve">(a) 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t xml:space="preserve">(b) Persons who refuse or fail to cooperate in obtaining federal aid assistance, without good cause;</w:t>
      </w:r>
    </w:p>
    <w:p>
      <w:pPr>
        <w:spacing w:before="0" w:after="0" w:line="408" w:lineRule="exact"/>
        <w:ind w:left="0" w:right="0" w:firstLine="576"/>
        <w:jc w:val="left"/>
      </w:pPr>
      <w:r>
        <w:rPr/>
        <w:t xml:space="preserve">(c)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(d)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rPr/>
        <w:t xml:space="preserve">(3)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rPr/>
        <w:t xml:space="preserve">(4)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rPr/>
        <w:t xml:space="preserve">(5)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department of commerce, in consultation with the office of financial management, must conduct a study to determine the appropriate benefit amount for persons found eligible to receive services under the aged, blind, or disabled assistance program pursuant to RCW 74.62.030 or the essential needs and housing support program pursuant to RCW 74.04.805 to help achieve or improve their financial stability and housing stability. The study must also identify the fiscal impacts of modifying each benefit amount on other economic services programs. The department of social and health services and the department of commerce must submit a report on the study, including any legislative recommendations, to the appropriate committees of the legislature by July 1, 2019.</w:t>
      </w:r>
    </w:p>
    <w:p/>
    <w:p>
      <w:pPr>
        <w:jc w:val="center"/>
      </w:pPr>
      <w:r>
        <w:rPr>
          <w:b/>
        </w:rPr>
        <w:t>--- END ---</w:t>
      </w:r>
    </w:p>
    <w:sectPr>
      <w:pgNumType w:start="1"/>
      <w:footerReference xmlns:r="http://schemas.openxmlformats.org/officeDocument/2006/relationships" r:id="R8d6054204d714f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431db7be7843e2" /><Relationship Type="http://schemas.openxmlformats.org/officeDocument/2006/relationships/footer" Target="/word/footer.xml" Id="R8d6054204d714ff6" /></Relationships>
</file>