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cba9727874ddd" /></Relationships>
</file>

<file path=word/document.xml><?xml version="1.0" encoding="utf-8"?>
<w:document xmlns:w="http://schemas.openxmlformats.org/wordprocessingml/2006/main">
  <w:body>
    <w:p>
      <w:r>
        <w:t>S-3428.2</w:t>
      </w:r>
    </w:p>
    <w:p>
      <w:pPr>
        <w:jc w:val="center"/>
      </w:pPr>
      <w:r>
        <w:t>_______________________________________________</w:t>
      </w:r>
    </w:p>
    <w:p/>
    <w:p>
      <w:pPr>
        <w:jc w:val="center"/>
      </w:pPr>
      <w:r>
        <w:rPr>
          <w:b/>
        </w:rPr>
        <w:t>SENATE BILL 6117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and Kuderer</w:t>
      </w:r>
    </w:p>
    <w:p/>
    <w:p>
      <w:r>
        <w:rPr>
          <w:t xml:space="preserve">Prefiled 01/05/18.</w:t>
        </w:rPr>
      </w:r>
      <w:r>
        <w:rPr>
          <w:t xml:space="preserve">Read first time 01/08/18.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conditions under which juvenile court records may be sealed; and amending RCW 13.50.260.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hearing and no administrative sealing hearing shall take place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an individual's juvenile court record pursuant to this subsection if the court finds t</w:t>
      </w:r>
      <w:r>
        <w:rPr/>
        <w:t xml:space="preserve">he respondent </w:t>
      </w:r>
      <w:r>
        <w:t>((</w:t>
      </w:r>
      <w:r>
        <w:rPr>
          <w:strike/>
        </w:rPr>
        <w:t xml:space="preserve">has completed the terms and conditions of disposition, including affirmative conditions and</w:t>
      </w:r>
      <w:r>
        <w:t>))</w:t>
      </w:r>
      <w:r>
        <w:rPr/>
        <w:t xml:space="preserve"> </w:t>
      </w:r>
      <w:r>
        <w:rPr>
          <w:u w:val="single"/>
        </w:rPr>
        <w:t xml:space="preserve">is no longer on supervision in the case to be sealed and</w:t>
      </w:r>
      <w:r>
        <w:rPr/>
        <w:t xml:space="preserve"> has paid the full amount of restitution owing to the individual victim named in the restitution order, excluding restitution owed to any insurance provider authorized under Title 48 RCW. </w:t>
      </w: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In determining whether or not the respondent is on supervision or owes restitution, the court shall take judicial notice of the court records, including the records of the county clerk's office, and, if necessary, sworn testimony from a representative of the juvenile department.</w:t>
      </w:r>
    </w:p>
    <w:p>
      <w:pPr>
        <w:spacing w:before="0" w:after="0" w:line="408" w:lineRule="exact"/>
        <w:ind w:left="0" w:right="0" w:firstLine="576"/>
        <w:jc w:val="left"/>
      </w:pPr>
      <w:r>
        <w:rPr>
          <w:u w:val="single"/>
        </w:rPr>
        <w:t xml:space="preserve">(e) At the time of the initial administrative sealing hearing scheduled at disposition, if the court finds that the respondent remains on supervision but has paid the full amount of restitution owing to the individual victim named in the restitution order, excluding restitution owed to any insurance provider, then the court shall continue the administrative sealing hearing to a date within thirty days following the anticipated end date of the respondent's current supervision. At the next administrative sealing hearing, the court shall again determine the respondent's eligibility to seal as set forth in (d) of this subsection, and, if necessary, continue the hearing again as provided in this subsection. Other than the administrative sealing hearing scheduled at disposition, and those continued under the terms of this subsection, no further hearings on administrative sealing shall be scheduled, held, or continued.</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w:t>
      </w:r>
      <w:r>
        <w:t>((</w:t>
      </w:r>
      <w:r>
        <w:rPr>
          <w:strike/>
        </w:rPr>
        <w:t xml:space="preserve">vacate its order and findings, if any, and, subject to RCW 13.50.050(13),</w:t>
      </w:r>
      <w:r>
        <w:t>))</w:t>
      </w:r>
      <w:r>
        <w:rPr/>
        <w:t xml:space="preserve">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w:t>
      </w:r>
      <w:r>
        <w:t>((</w:t>
      </w:r>
      <w:r>
        <w:rPr>
          <w:strike/>
        </w:rPr>
        <w:t xml:space="preserve">rape in the first degree</w:t>
      </w:r>
      <w:r>
        <w:t>))</w:t>
      </w:r>
      <w:r>
        <w:rPr/>
        <w:t xml:space="preserve"> </w:t>
      </w:r>
      <w:r>
        <w:rPr>
          <w:u w:val="single"/>
        </w:rPr>
        <w:t xml:space="preserve">a serious violent offense as defined in RCW 9.94A.030</w:t>
      </w:r>
      <w:r>
        <w:rPr/>
        <w:t xml:space="preserve">, rape in the second degree, or indecent liberties </w:t>
      </w:r>
      <w:r>
        <w:t>((</w:t>
      </w:r>
      <w:r>
        <w:rPr>
          <w:strike/>
        </w:rPr>
        <w:t xml:space="preserve">that was actually committed</w:t>
      </w:r>
      <w:r>
        <w:t>))</w:t>
      </w:r>
      <w:r>
        <w:rPr/>
        <w:t xml:space="preserve">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w:t>
      </w:r>
      <w:r>
        <w:rPr>
          <w:u w:val="single"/>
        </w:rPr>
        <w:t xml:space="preserve">For any person convicted of any serious violent offense as defined in RCW 9.94A.030, rape in the second degree, or indecent liberties with forcible compulsion, the court may grant any motion to seal records for class A offenses made pursuant to subsection (3) of this section, including serious violent offenses as defined in RCW 9.94A.030, rape in the second degree, or indecent liberties with forcible compulsion if:</w:t>
      </w:r>
    </w:p>
    <w:p>
      <w:pPr>
        <w:spacing w:before="0" w:after="0" w:line="408" w:lineRule="exact"/>
        <w:ind w:left="0" w:right="0" w:firstLine="576"/>
        <w:jc w:val="left"/>
      </w:pPr>
      <w:r>
        <w:rPr>
          <w:u w:val="single"/>
        </w:rPr>
        <w:t xml:space="preserve">(i) Since the last date of release from confinement, including full-time residential treatment, if any, or entry of disposition, the person has spent ten consecutive years in the community without committing any offense or crime that subsequently results in an adjudication or conviction;</w:t>
      </w:r>
    </w:p>
    <w:p>
      <w:pPr>
        <w:spacing w:before="0" w:after="0" w:line="408" w:lineRule="exact"/>
        <w:ind w:left="0" w:right="0" w:firstLine="576"/>
        <w:jc w:val="left"/>
      </w:pPr>
      <w:r>
        <w:rPr>
          <w:u w:val="single"/>
        </w:rPr>
        <w:t xml:space="preserve">(ii) No proceeding is pending against the moving party seeking the conviction of a juvenile offense or a criminal offense;</w:t>
      </w:r>
    </w:p>
    <w:p>
      <w:pPr>
        <w:spacing w:before="0" w:after="0" w:line="408" w:lineRule="exact"/>
        <w:ind w:left="0" w:right="0" w:firstLine="576"/>
        <w:jc w:val="left"/>
      </w:pPr>
      <w:r>
        <w:rPr>
          <w:u w:val="single"/>
        </w:rPr>
        <w:t xml:space="preserve">(iii) No proceeding is pending seeking the formation of a diversion agreement with that person;</w:t>
      </w:r>
    </w:p>
    <w:p>
      <w:pPr>
        <w:spacing w:before="0" w:after="0" w:line="408" w:lineRule="exact"/>
        <w:ind w:left="0" w:right="0" w:firstLine="576"/>
        <w:jc w:val="left"/>
      </w:pPr>
      <w:r>
        <w:rPr>
          <w:u w:val="single"/>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u w:val="single"/>
        </w:rPr>
        <w:t xml:space="preserve">(v) The person has paid the full amount of restitution owing to the individual victim named in the restitution order, excluding restitution owed to any insurance provider authorized under Title 48 RCW; and</w:t>
      </w:r>
    </w:p>
    <w:p>
      <w:pPr>
        <w:spacing w:before="0" w:after="0" w:line="408" w:lineRule="exact"/>
        <w:ind w:left="0" w:right="0" w:firstLine="576"/>
        <w:jc w:val="left"/>
      </w:pPr>
      <w:r>
        <w:rPr>
          <w:u w:val="single"/>
        </w:rPr>
        <w:t xml:space="preserve">(vi) The court finds granting the motion to seal is in the best interest of the community. In considering the best interest of the community, the court shall take into account the factual circumstances of the case, the present life circumstances of the moving party, any input from the victim, and any other factors the court considers relevant.</w:t>
      </w:r>
    </w:p>
    <w:p>
      <w:pPr>
        <w:spacing w:before="0" w:after="0" w:line="408" w:lineRule="exact"/>
        <w:ind w:left="0" w:right="0" w:firstLine="576"/>
        <w:jc w:val="left"/>
      </w:pPr>
      <w:r>
        <w:rPr>
          <w:u w:val="single"/>
        </w:rPr>
        <w:t xml:space="preserve">(d)</w:t>
      </w:r>
      <w:r>
        <w:rPr/>
        <w:t xml:space="preserve">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 </w:t>
      </w:r>
      <w:r>
        <w:rPr>
          <w:u w:val="single"/>
        </w:rPr>
        <w:t xml:space="preserve">For purposes of subsection (4)(c) of this section only, the prosecuting attorney must make reasonable efforts to notify the victim of the motion to seal records using the victim's last known contact information.</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
      <w:pPr>
        <w:jc w:val="center"/>
      </w:pPr>
      <w:r>
        <w:rPr>
          <w:b/>
        </w:rPr>
        <w:t>--- END ---</w:t>
      </w:r>
    </w:p>
    <w:sectPr>
      <w:pgNumType w:start="1"/>
      <w:footerReference xmlns:r="http://schemas.openxmlformats.org/officeDocument/2006/relationships" r:id="R8dd3ad86c03c47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3a3044a574aa9" /><Relationship Type="http://schemas.openxmlformats.org/officeDocument/2006/relationships/footer" Target="/word/footer.xml" Id="R8dd3ad86c03c4767" /></Relationships>
</file>