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76cfc38dfa467a" /></Relationships>
</file>

<file path=word/document.xml><?xml version="1.0" encoding="utf-8"?>
<w:document xmlns:w="http://schemas.openxmlformats.org/wordprocessingml/2006/main">
  <w:body>
    <w:p>
      <w:r>
        <w:t>S-3610.1</w:t>
      </w:r>
    </w:p>
    <w:p>
      <w:pPr>
        <w:jc w:val="center"/>
      </w:pPr>
      <w:r>
        <w:t>_______________________________________________</w:t>
      </w:r>
    </w:p>
    <w:p/>
    <w:p>
      <w:pPr>
        <w:jc w:val="center"/>
      </w:pPr>
      <w:r>
        <w:rPr>
          <w:b/>
        </w:rPr>
        <w:t>SENATE BILL 6146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Saldaña, Pedersen, Keiser, Carlyle, Frockt, Hunt, Wellman, and Kuderer</w:t>
      </w:r>
    </w:p>
    <w:p/>
    <w:p>
      <w:r>
        <w:rPr>
          <w:t xml:space="preserve">Read first time 01/09/18.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authority to regulate firearms; amending RCW 9.41.300; adding a new section to chapter 9.41 RCW; creating a new section; and repealing RCW 9.41.290.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gun violence is a public health crisis in Washington state. For over thirty years, local towns, cities, and counties have been blocked from taking action on their own to prevent gun violence because of the statewide preemption of local regulations relating to firearms. The legislature intends to provide local jurisdictions the ability to build upon statewide standards and adopt responsible approaches to firearms regulations to help address the epidemic of firearm violence in their communities by restoring inherent local authority to adopt firearms regulations under the police power to protect public health, safety, and welfare.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This chapter does not affect, modify, or limit the power of a city, municipality, or county in this state to adopt an ordinance or regulation relating to firearms that is in addition to or more restrictive than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2011 c 221 s 2 are each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 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certified by the department of social and health services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w:t>
      </w:r>
      <w:r>
        <w:t>((</w:t>
      </w:r>
      <w:r>
        <w:rPr>
          <w:strike/>
        </w:rPr>
        <w:t xml:space="preserve">control</w:t>
      </w:r>
      <w:r>
        <w:t>))</w:t>
      </w:r>
      <w:r>
        <w:rPr/>
        <w:t xml:space="preserve"> </w:t>
      </w:r>
      <w:r>
        <w:rPr>
          <w:u w:val="single"/>
        </w:rPr>
        <w:t xml:space="preserve">and cannabis</w:t>
      </w:r>
      <w:r>
        <w:rPr/>
        <w:t xml:space="preserve"> board as off-limits to persons under twenty-one years of age;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 </w:t>
      </w:r>
      <w:r>
        <w:t>((</w:t>
      </w:r>
      <w:r>
        <w:rPr>
          <w:strike/>
        </w:rPr>
        <w:t xml:space="preserve">Cities, towns, counties, and other municipalities may enact laws and ordinances:</w:t>
      </w:r>
    </w:p>
    <w:p>
      <w:pPr>
        <w:spacing w:before="0" w:after="0" w:line="408" w:lineRule="exact"/>
        <w:ind w:left="0" w:right="0" w:firstLine="576"/>
        <w:jc w:val="left"/>
      </w:pPr>
      <w:r>
        <w:rPr>
          <w:strike/>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strike/>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strike/>
        </w:rPr>
        <w:t xml:space="preserve">(i) Any pistol in the possession of a person licensed under RCW 9.41.070 or exempt from the licensing requirement by RCW 9.41.060; or</w:t>
      </w:r>
    </w:p>
    <w:p>
      <w:pPr>
        <w:spacing w:before="0" w:after="0" w:line="408" w:lineRule="exact"/>
        <w:ind w:left="0" w:right="0" w:firstLine="576"/>
        <w:jc w:val="left"/>
      </w:pPr>
      <w:r>
        <w:rPr>
          <w:strike/>
        </w:rPr>
        <w:t xml:space="preserve">(ii) Any showing, demonstration, or lecture involving the exhibition of firearms.</w:t>
      </w:r>
    </w:p>
    <w:p>
      <w:pPr>
        <w:spacing w:before="0" w:after="0" w:line="408" w:lineRule="exact"/>
        <w:ind w:left="0" w:right="0" w:firstLine="576"/>
        <w:jc w:val="left"/>
      </w:pPr>
      <w:r>
        <w:rPr>
          <w:strike/>
        </w:rPr>
        <w:t xml:space="preserve">(3)(a)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strike/>
        </w:rPr>
        <w:t xml:space="preserve">(b) Cities, towns, and counties may restrict the location of a business selling firearms to not less than five hundred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(3)(b) shall be grandfathered according to existing law.</w:t>
      </w:r>
    </w:p>
    <w:p>
      <w:pPr>
        <w:spacing w:before="0" w:after="0" w:line="408" w:lineRule="exact"/>
        <w:ind w:left="0" w:right="0" w:firstLine="576"/>
        <w:jc w:val="left"/>
      </w:pPr>
      <w:r>
        <w:rPr>
          <w:strike/>
        </w:rPr>
        <w:t xml:space="preserve">(4) Violations of local ordinances adopted under subsection (2) of this section must have the same penalty as provided for by state law.</w:t>
      </w:r>
    </w:p>
    <w:p>
      <w:pPr>
        <w:spacing w:before="0" w:after="0" w:line="408" w:lineRule="exact"/>
        <w:ind w:left="0" w:right="0" w:firstLine="576"/>
        <w:jc w:val="left"/>
      </w:pPr>
      <w:r>
        <w:rPr>
          <w:strike/>
        </w:rPr>
        <w:t xml:space="preserve">(5)</w:t>
      </w:r>
      <w:r>
        <w:t>))</w:t>
      </w:r>
      <w:r>
        <w:rPr/>
        <w:t xml:space="preserve">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action under chapter 10.14, 10.99, or 26.50 RCW, or an action under Title 26 RCW where any party has alleged the existence of domestic violence as defined in RCW 26.50.010;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action under chapter 10.14, 10.99, or 26.50 RCW, or an action under Title 26 RCW where any party has alleged the existence of domestic violence as defined in RCW 26.50.010.</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 Subsection (1)(d) of this section does not apply to the proprietor of the premises or his or her employees while engaged in their employment.</w:t>
      </w:r>
    </w:p>
    <w:p>
      <w:pPr>
        <w:spacing w:before="0" w:after="0" w:line="408" w:lineRule="exact"/>
        <w:ind w:left="0" w:right="0" w:firstLine="576"/>
        <w:jc w:val="left"/>
      </w:pPr>
      <w:r>
        <w:t>((</w:t>
      </w:r>
      <w:r>
        <w:rPr>
          <w:strike/>
        </w:rPr>
        <w:t xml:space="preserve">(11)</w:t>
      </w:r>
      <w:r>
        <w:t>))</w:t>
      </w:r>
      <w:r>
        <w:rPr/>
        <w:t xml:space="preserve"> </w:t>
      </w:r>
      <w:r>
        <w:rPr>
          <w:u w:val="single"/>
        </w:rPr>
        <w:t xml:space="preserve">(8)</w:t>
      </w:r>
      <w:r>
        <w:rPr/>
        <w:t xml:space="preserve">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t>((</w:t>
      </w:r>
      <w:r>
        <w:rPr>
          <w:strike/>
        </w:rPr>
        <w:t xml:space="preserve">(12)</w:t>
      </w:r>
      <w:r>
        <w:t>))</w:t>
      </w:r>
      <w:r>
        <w:rPr/>
        <w:t xml:space="preserve"> </w:t>
      </w:r>
      <w:r>
        <w:rPr>
          <w:u w:val="single"/>
        </w:rPr>
        <w:t xml:space="preserve">(9)</w:t>
      </w:r>
      <w:r>
        <w:rPr/>
        <w:t xml:space="preserve"> Any person violating subsection (1) of this section is guilty of a gross misdemeanor.</w:t>
      </w:r>
    </w:p>
    <w:p>
      <w:pPr>
        <w:spacing w:before="0" w:after="0" w:line="408" w:lineRule="exact"/>
        <w:ind w:left="0" w:right="0" w:firstLine="576"/>
        <w:jc w:val="left"/>
      </w:pPr>
      <w:r>
        <w:t>((</w:t>
      </w:r>
      <w:r>
        <w:rPr>
          <w:strike/>
        </w:rPr>
        <w:t xml:space="preserve">(13)</w:t>
      </w:r>
      <w:r>
        <w:t>))</w:t>
      </w:r>
      <w:r>
        <w:rPr/>
        <w:t xml:space="preserve"> </w:t>
      </w:r>
      <w:r>
        <w:rPr>
          <w:u w:val="single"/>
        </w:rPr>
        <w:t xml:space="preserve">(10)</w:t>
      </w:r>
      <w:r>
        <w:rPr/>
        <w:t xml:space="preserve"> "Weapon" as used in this section means any firearm, explosive as defined in RCW 70.74.010, or instrument or weapon listed in RCW 9.41.250.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290</w:t>
      </w:r>
      <w:r>
        <w:rPr/>
        <w:t xml:space="preserve"> (State preemption) and 1994 sp.s. c 7 s 428, 1985 c 428 s 1, &amp; 1983 c 232 s 12 are each repealed.</w:t>
      </w:r>
    </w:p>
    <w:p/>
    <w:p>
      <w:pPr>
        <w:jc w:val="center"/>
      </w:pPr>
      <w:r>
        <w:rPr>
          <w:b/>
        </w:rPr>
        <w:t>--- END ---</w:t>
      </w:r>
    </w:p>
    <w:sectPr>
      <w:pgNumType w:start="1"/>
      <w:footerReference xmlns:r="http://schemas.openxmlformats.org/officeDocument/2006/relationships" r:id="R843ba7a58aec465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b2611ec8ab4a33" /><Relationship Type="http://schemas.openxmlformats.org/officeDocument/2006/relationships/footer" Target="/word/footer.xml" Id="R843ba7a58aec4656" /></Relationships>
</file>