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3dfaf96a845a2" /></Relationships>
</file>

<file path=word/document.xml><?xml version="1.0" encoding="utf-8"?>
<w:document xmlns:w="http://schemas.openxmlformats.org/wordprocessingml/2006/main">
  <w:body>
    <w:p>
      <w:r>
        <w:t>S-3201.1</w:t>
      </w:r>
    </w:p>
    <w:p>
      <w:pPr>
        <w:jc w:val="center"/>
      </w:pPr>
      <w:r>
        <w:t>_______________________________________________</w:t>
      </w:r>
    </w:p>
    <w:p/>
    <w:p>
      <w:pPr>
        <w:jc w:val="center"/>
      </w:pPr>
      <w:r>
        <w:rPr>
          <w:b/>
        </w:rPr>
        <w:t>SENATE BILL 6192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computing the rate of vacation leave accrual for employees formerly employed by a school district;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u w:val="single"/>
        </w:rPr>
        <w:t xml:space="preserve">To the extent that rates of vacation leave accrual are based upon total state employment, each contract year or equivalent of full-time employment in a certificated or classified position with a school district within the state shall be credited to the state officer or employee as one year of qualifying service. Qualifying employment with a school district shall be applied to leave accrual rates effective July 1, 2018.</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two hundred forty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two hundred forty hours of accrued unused vacation leave shall be extended for each month said leave is so deferred.</w:t>
      </w:r>
    </w:p>
    <w:p/>
    <w:p>
      <w:pPr>
        <w:jc w:val="center"/>
      </w:pPr>
      <w:r>
        <w:rPr>
          <w:b/>
        </w:rPr>
        <w:t>--- END ---</w:t>
      </w:r>
    </w:p>
    <w:sectPr>
      <w:pgNumType w:start="1"/>
      <w:footerReference xmlns:r="http://schemas.openxmlformats.org/officeDocument/2006/relationships" r:id="R2273c6b336f248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3bb00c3af4226" /><Relationship Type="http://schemas.openxmlformats.org/officeDocument/2006/relationships/footer" Target="/word/footer.xml" Id="R2273c6b336f2486f" /></Relationships>
</file>