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8c9a0254e84647" /></Relationships>
</file>

<file path=word/document.xml><?xml version="1.0" encoding="utf-8"?>
<w:document xmlns:w="http://schemas.openxmlformats.org/wordprocessingml/2006/main">
  <w:body>
    <w:p>
      <w:r>
        <w:t>S-4622.1</w:t>
      </w:r>
    </w:p>
    <w:p>
      <w:pPr>
        <w:jc w:val="center"/>
      </w:pPr>
      <w:r>
        <w:t>_______________________________________________</w:t>
      </w:r>
    </w:p>
    <w:p/>
    <w:p>
      <w:pPr>
        <w:jc w:val="center"/>
      </w:pPr>
      <w:r>
        <w:rPr>
          <w:b/>
        </w:rPr>
        <w:t>SUBSTITUTE SENATE BILL 6223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Carlyle, O'Ban, Walsh, Frockt, Darneille, Zeiger, Palumbo, Hunt, Kuderer, Wellman, and Liias)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equitable educational outcomes for vulnerable children and youth from preschool to postsecondary education;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with this act to powerfully leverage current collaboration and investments to align services, outcome measures, accountability, and resources to facilitate educational equity by 2027 for children and youth in foster care and children and youth experiencing homelessness. The goal of this effort is that children and youth in foster care and children and youth experiencing homelessness achieve educational outcomes at the same rate as their general student population peers throughout the educational continuum from preschool to postsecondary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this section, "children and youth in foster care" means children and youth under the placement and care authority of the department of children, youth, and families, a federally recognized tribe, or another child-placing agency; and children and youth who have experienced foster care and have achieved permanency.</w:t>
      </w:r>
    </w:p>
    <w:p>
      <w:pPr>
        <w:spacing w:before="0" w:after="0" w:line="408" w:lineRule="exact"/>
        <w:ind w:left="0" w:right="0" w:firstLine="576"/>
        <w:jc w:val="left"/>
      </w:pPr>
      <w:r>
        <w:rPr/>
        <w:t xml:space="preserve">(2) The department of children, youth, and families,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t xml:space="preserve">(ii) Disaggregated data by race and ethnicity;</w:t>
      </w:r>
    </w:p>
    <w:p>
      <w:pPr>
        <w:spacing w:before="0" w:after="0" w:line="408" w:lineRule="exact"/>
        <w:ind w:left="0" w:right="0" w:firstLine="576"/>
        <w:jc w:val="left"/>
      </w:pPr>
      <w:r>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t xml:space="preserve">(i) Align indicators and outcomes across organizations and programs;</w:t>
      </w:r>
    </w:p>
    <w:p>
      <w:pPr>
        <w:spacing w:before="0" w:after="0" w:line="408" w:lineRule="exact"/>
        <w:ind w:left="0" w:right="0" w:firstLine="576"/>
        <w:jc w:val="left"/>
      </w:pPr>
      <w:r>
        <w:rPr/>
        <w:t xml:space="preserve">(ii) Improve racial and ethnic equity in educational outcomes;</w:t>
      </w:r>
    </w:p>
    <w:p>
      <w:pPr>
        <w:spacing w:before="0" w:after="0" w:line="408" w:lineRule="exact"/>
        <w:ind w:left="0" w:right="0" w:firstLine="576"/>
        <w:jc w:val="left"/>
      </w:pPr>
      <w:r>
        <w:rPr/>
        <w:t xml:space="preserve">(iii) Ensure access to consistent and accurate annual educational outcomes data;</w:t>
      </w:r>
    </w:p>
    <w:p>
      <w:pPr>
        <w:spacing w:before="0" w:after="0" w:line="408" w:lineRule="exact"/>
        <w:ind w:left="0" w:right="0" w:firstLine="576"/>
        <w:jc w:val="left"/>
      </w:pPr>
      <w:r>
        <w:rPr/>
        <w:t xml:space="preserve">(iv) Address system barriers such as data sharing;</w:t>
      </w:r>
    </w:p>
    <w:p>
      <w:pPr>
        <w:spacing w:before="0" w:after="0" w:line="408" w:lineRule="exact"/>
        <w:ind w:left="0" w:right="0" w:firstLine="576"/>
        <w:jc w:val="left"/>
      </w:pPr>
      <w:r>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t xml:space="preserve">(vii) Explore the option of creating a specific statewide school district that supports the needs of and tracks the educational progress of children and youth in foster care and children and youth experiencing homelessness; and</w:t>
      </w:r>
    </w:p>
    <w:p>
      <w:pPr>
        <w:spacing w:before="0" w:after="0" w:line="408" w:lineRule="exact"/>
        <w:ind w:left="0" w:right="0" w:firstLine="576"/>
        <w:jc w:val="left"/>
      </w:pPr>
      <w:r>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t xml:space="preserve">(f)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t xml:space="preserve">(3)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t xml:space="preserve">(4) By December 17, 2018, the work group must provide a report to the legislature on its analysis as described under this section,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2018.</w:t>
      </w:r>
    </w:p>
    <w:p/>
    <w:p>
      <w:pPr>
        <w:jc w:val="center"/>
      </w:pPr>
      <w:r>
        <w:rPr>
          <w:b/>
        </w:rPr>
        <w:t>--- END ---</w:t>
      </w:r>
    </w:p>
    <w:sectPr>
      <w:pgNumType w:start="1"/>
      <w:footerReference xmlns:r="http://schemas.openxmlformats.org/officeDocument/2006/relationships" r:id="R16fa70e34f5949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d314ecabbc465f" /><Relationship Type="http://schemas.openxmlformats.org/officeDocument/2006/relationships/footer" Target="/word/footer.xml" Id="R16fa70e34f5949df" /></Relationships>
</file>