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76aa0f3244279" /></Relationships>
</file>

<file path=word/document.xml><?xml version="1.0" encoding="utf-8"?>
<w:document xmlns:w="http://schemas.openxmlformats.org/wordprocessingml/2006/main">
  <w:body>
    <w:p>
      <w:r>
        <w:t>S-4502.3</w:t>
      </w:r>
    </w:p>
    <w:p>
      <w:pPr>
        <w:jc w:val="center"/>
      </w:pPr>
      <w:r>
        <w:t>_______________________________________________</w:t>
      </w:r>
    </w:p>
    <w:p/>
    <w:p>
      <w:pPr>
        <w:jc w:val="center"/>
      </w:pPr>
      <w:r>
        <w:rPr>
          <w:b/>
        </w:rPr>
        <w:t>SUBSTITUTE SENATE BILL 6269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Ranker, Rolfes, Carlyle, Darneille, Hasegawa, Pedersen, Conway, Keiser, Hunt, Frockt, Kuderer, Chase, Liias, and Saldaña; by request of Department of Ecology)</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oil transportation safety; amending RCW 82.23B.020, 88.46.060, 88.46.220, 88.46.167, 90.56.210, 90.56.240, and 90.56.569, reenacting and amending RCW 82.23B.010; adding new sections to chapter 88.46 RCW; adding new sections to chapter 90.56 RCW; creating new sections; providing an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2004 legislature declared a zero spills goal for the state of Washington. When a spill occurs, there is severe and irreversible damage to the environment, human health, tribal and other cultural and historical resources, and the economy. Fish, orcas, wildlife habitats, shellfish beds, archaeologically sensitive areas, clean air, and public facilities are put at risk when spills occur in the state of Washington.</w:t>
      </w:r>
    </w:p>
    <w:p>
      <w:pPr>
        <w:spacing w:before="0" w:after="0" w:line="408" w:lineRule="exact"/>
        <w:ind w:left="0" w:right="0" w:firstLine="576"/>
        <w:jc w:val="left"/>
      </w:pPr>
      <w:r>
        <w:rPr/>
        <w:t xml:space="preserve">(b) The department of ecology's oil spill program faces a critical funding gap due to the lack of adequate revenue to fully fund the prevention and preparedness services required by state law, including the 2015 oil transportation safety act. Moreover, the program has endured a decline in capacity and resources to fully utilize its existing authority for critical needs, like vessel inspections and developing spill response plans. Without an adequate investment in revenue, there will be a continued decline in required prevention and preparedness services, causing an increased risk of oil spills in the state of Washington and our shared waters with the Canadian transboundary region.</w:t>
      </w:r>
    </w:p>
    <w:p>
      <w:pPr>
        <w:spacing w:before="0" w:after="0" w:line="408" w:lineRule="exact"/>
        <w:ind w:left="0" w:right="0" w:firstLine="576"/>
        <w:jc w:val="left"/>
      </w:pPr>
      <w:r>
        <w:rPr/>
        <w:t xml:space="preserve">(c) While oil transported into the state by rail and tank vessels is taxed to fund the oil spill program's oil spill prevention and preparedness activities, a third method of transport, pipelines, currently is not taxed, despite it generating a sizeable oil spill risk.</w:t>
      </w:r>
    </w:p>
    <w:p>
      <w:pPr>
        <w:spacing w:before="0" w:after="0" w:line="408" w:lineRule="exact"/>
        <w:ind w:left="0" w:right="0" w:firstLine="576"/>
        <w:jc w:val="left"/>
      </w:pPr>
      <w:r>
        <w:rPr/>
        <w:t xml:space="preserve">(d) Some oils are inherently heavy and are likely to stay submerged in the water column or sink to the bottom of a water body. In addition, many oils, depending on their qualities, weathering, environmental factors, and method of discharge, may also submerge or sink in water. Oils that submerge or sink in water pose a substantial risk to the environment, human health, tribal and other cultural and historical resources, and the economy and are a significant challenge to cleanup. Oils are currently being transported by vessels, trains, and pipelines in large volumes in our state, with increased volumes of heavy oils being transported by vessel through our shared waters from Canada. As knowledge about how oils submerge or sink in water grows and technological advances to respond are developed, preventing and preparing for these spills must be updated.</w:t>
      </w:r>
    </w:p>
    <w:p>
      <w:pPr>
        <w:spacing w:before="0" w:after="0" w:line="408" w:lineRule="exact"/>
        <w:ind w:left="0" w:right="0" w:firstLine="576"/>
        <w:jc w:val="left"/>
      </w:pPr>
      <w:r>
        <w:rPr/>
        <w:t xml:space="preserve">(2) Therefore, the legislature intends to provide adequate revenue to fully fund prevention and preparedness services required by state law, as well as direct the department of ecology to specifically address the risks of oils submerging and sinking and more extensively coordinate with our Canadian partners in order to protect our state's economy and its shared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four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must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provide a report to the legislature by July 1, 2020, on the following: (1) A description of activities conducted by the department's oil spill program that are expected to continue after fiscal year 2019, and activities that are not expected to continue after fiscal year 2019; (2) recommendations regarding potential sources of funding for the department's oil spill program other than, or in addition to, sources of funding existing on the effective date of this section; (3) recommendations regarding the allocation of funding from the taxes established in RCW 82.23B.020 among various state agencies, including whether funding should be discontinued or reduced for any agency; and (4) a forecast of the department's oil spill program funding needs after fiscal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Beginning July 1, 2018, and each July 1st thereafter, the treasurer shall transfer the sum of two hundred thousand dollars from the oil spill prevention account to the national guard account for the purposes of planning and conducting training of the Washington state national guard to perform oil and hazardous materials spills and cleanup.</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88</w:t>
      </w:r>
      <w:r>
        <w:rPr/>
        <w:t xml:space="preserve">.</w:t>
      </w:r>
      <w:r>
        <w:t xml:space="preserve">46</w:t>
      </w:r>
      <w:r>
        <w:rPr/>
        <w:t xml:space="preserve">.</w:t>
      </w:r>
      <w:r>
        <w:t xml:space="preserve">060</w:t>
      </w:r>
      <w:r>
        <w:rPr/>
        <w:t xml:space="preserve"> and 2011 c 122 s 6 are each amended to read as follows:</w:t>
      </w:r>
    </w:p>
    <w:p>
      <w:pPr>
        <w:spacing w:before="0" w:after="0" w:line="408" w:lineRule="exact"/>
        <w:ind w:left="0" w:right="0" w:firstLine="576"/>
        <w:jc w:val="left"/>
      </w:pPr>
      <w:r>
        <w:rPr/>
        <w:t xml:space="preserve">(1) Each covered vessel shall have a contingency plan for the containment and cleanup of oil spills from the covered vessel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vessel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consistent with this chapter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natural resources, and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Establish guidelines for the use of equipment by the crew of a vessel to minimize vessel damage, stop or reduce any spilling from the vessel, and, only when appropriate and only when vessel safety is assured, contain and clean up the spilled oil;</w:t>
      </w:r>
    </w:p>
    <w:p>
      <w:pPr>
        <w:spacing w:before="0" w:after="0" w:line="408" w:lineRule="exact"/>
        <w:ind w:left="0" w:right="0" w:firstLine="576"/>
        <w:jc w:val="left"/>
      </w:pPr>
      <w:r>
        <w:rPr/>
        <w:t xml:space="preserve">(j) Provide arrangements for the prepositioning of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(k) Provide arrangements for enlisting the use of qualified and trained cleanup personnel to implement the plan;</w:t>
      </w:r>
    </w:p>
    <w:p>
      <w:pPr>
        <w:spacing w:before="0" w:after="0" w:line="408" w:lineRule="exact"/>
        <w:ind w:left="0" w:right="0" w:firstLine="576"/>
        <w:jc w:val="left"/>
      </w:pPr>
      <w:r>
        <w:rPr/>
        <w:t xml:space="preserve">(l) Provide for disposal of recovered spilled oil in accordance with local, state, and federal laws;</w:t>
      </w:r>
    </w:p>
    <w:p>
      <w:pPr>
        <w:spacing w:before="0" w:after="0" w:line="408" w:lineRule="exact"/>
        <w:ind w:left="0" w:right="0" w:firstLine="576"/>
        <w:jc w:val="left"/>
      </w:pPr>
      <w:r>
        <w:rPr/>
        <w:t xml:space="preserve">(m) Until a spill prevention plan has been submitted pursuant to RCW 88.46.040, state the measures that have been taken to reduce the likelihood that a spill will occur, including but not limited to, design and operation of a vessel, training of personnel, number of personnel, and backup systems designed to prevent a spill;</w:t>
      </w:r>
    </w:p>
    <w:p>
      <w:pPr>
        <w:spacing w:before="0" w:after="0" w:line="408" w:lineRule="exact"/>
        <w:ind w:left="0" w:right="0" w:firstLine="576"/>
        <w:jc w:val="left"/>
      </w:pPr>
      <w:r>
        <w:rPr/>
        <w:t xml:space="preserve">(n) State the amount and type of equipment available to respond to a spill, where the equipment is located, and the extent to which other contingency plans rely on the same equipment;</w:t>
      </w:r>
    </w:p>
    <w:p>
      <w:pPr>
        <w:spacing w:before="0" w:after="0" w:line="408" w:lineRule="exact"/>
        <w:ind w:left="0" w:right="0" w:firstLine="576"/>
        <w:jc w:val="left"/>
      </w:pPr>
      <w:r>
        <w:rPr/>
        <w:t xml:space="preserve">(o)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(p) Compliance with RCW 88.46.230 if the contingency plan is submitted by an umbrella plan holder; and</w:t>
      </w:r>
    </w:p>
    <w:p>
      <w:pPr>
        <w:spacing w:before="0" w:after="0" w:line="408" w:lineRule="exact"/>
        <w:ind w:left="0" w:right="0" w:firstLine="576"/>
        <w:jc w:val="left"/>
      </w:pPr>
      <w:r>
        <w:rPr/>
        <w:t xml:space="preserve">(q) Include any additional elements of contingency plans as required by this chapter.</w:t>
      </w:r>
    </w:p>
    <w:p>
      <w:pPr>
        <w:spacing w:before="0" w:after="0" w:line="408" w:lineRule="exact"/>
        <w:ind w:left="0" w:right="0" w:firstLine="576"/>
        <w:jc w:val="left"/>
      </w:pPr>
      <w:r>
        <w:rPr/>
        <w:t xml:space="preserve">(2) The owner or operator of a covered vessel must submit any required contingency plan updates to the department within the timelines established by the department.</w:t>
      </w:r>
    </w:p>
    <w:p>
      <w:pPr>
        <w:spacing w:before="0" w:after="0" w:line="408" w:lineRule="exact"/>
        <w:ind w:left="0" w:right="0" w:firstLine="576"/>
        <w:jc w:val="left"/>
      </w:pPr>
      <w:r>
        <w:rPr/>
        <w:t xml:space="preserve">(3)(a) The owner or operator of a tank vessel or of the facilities at which the vessel will be unloading its cargo, or a nonprofit corporation established for the purpose of oil spill response and contingency plan coverage and of which the owner or operator is a member, shall submit the contingency plan for the tank vessel. Subject to conditions imposed by the department, the owner or operator of a facility may submit a single contingency plan for tank vessels of a particular class that will be unloading cargo at the facility.</w:t>
      </w:r>
    </w:p>
    <w:p>
      <w:pPr>
        <w:spacing w:before="0" w:after="0" w:line="408" w:lineRule="exact"/>
        <w:ind w:left="0" w:right="0" w:firstLine="576"/>
        <w:jc w:val="left"/>
      </w:pPr>
      <w:r>
        <w:rPr/>
        <w:t xml:space="preserve">(b) The contingency plan for a cargo vessel or passenger vessel may be submitted by the owner or operator of the cargo vessel or passenger vessel, by the agent for the vessel resident in this state, or by a nonprofit corporation established for the purpose of oil spill response and contingency plan coverage and of which the owner or operator is a member. Subject to conditions imposed by the department, the owner, operator, or agent may submit a single contingency plan for cargo vessels or passenger vessels of a particular class.</w:t>
      </w:r>
    </w:p>
    <w:p>
      <w:pPr>
        <w:spacing w:before="0" w:after="0" w:line="408" w:lineRule="exact"/>
        <w:ind w:left="0" w:right="0" w:firstLine="576"/>
        <w:jc w:val="left"/>
      </w:pPr>
      <w:r>
        <w:rPr/>
        <w:t xml:space="preserve">(c) A person who has contracted with a covered vessel to provide containment and cleanup services and who meets the standards established pursuant to RCW 90.56.240, may submit the plan for any covered vessel for which the person is contractually obligated to provide services. Subject to conditions imposed by the department, the person may submit a single plan for more than one covered vessel.</w:t>
      </w:r>
    </w:p>
    <w:p>
      <w:pPr>
        <w:spacing w:before="0" w:after="0" w:line="408" w:lineRule="exact"/>
        <w:ind w:left="0" w:right="0" w:firstLine="576"/>
        <w:jc w:val="left"/>
      </w:pPr>
      <w:r>
        <w:rPr/>
        <w:t xml:space="preserve">(4)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(5)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and wildlife, shellfish beds,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director;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(6)(a)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(b) The department must notify the plan holder in writing within sixty-five days of an initial or amended plan's submittal to the department as to whether the plan is disapproved, approved, or conditionally approved. If a plan is conditionally approved, the department must clearly describe each condition and specify a schedule for plan holders to submit required updates.</w:t>
      </w:r>
    </w:p>
    <w:p>
      <w:pPr>
        <w:spacing w:before="0" w:after="0" w:line="408" w:lineRule="exact"/>
        <w:ind w:left="0" w:right="0" w:firstLine="576"/>
        <w:jc w:val="left"/>
      </w:pPr>
      <w:r>
        <w:rPr/>
        <w:t xml:space="preserve">(7) The approval of the contingency plan shall be valid for five years. Upon approval of a contingency plan, the department shall provide to the person submitting the plan a statement indicating that the plan has been approved, the vessels covered by the plan, and other information the department determines should be included.</w:t>
      </w:r>
    </w:p>
    <w:p>
      <w:pPr>
        <w:spacing w:before="0" w:after="0" w:line="408" w:lineRule="exact"/>
        <w:ind w:left="0" w:right="0" w:firstLine="576"/>
        <w:jc w:val="left"/>
      </w:pPr>
      <w:r>
        <w:rPr/>
        <w:t xml:space="preserve">(8) An owner or operator of a covered vessel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(9)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(10)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88.46.060, the department must update rules for contingency plans to require:</w:t>
      </w:r>
    </w:p>
    <w:p>
      <w:pPr>
        <w:spacing w:before="0" w:after="0" w:line="408" w:lineRule="exact"/>
        <w:ind w:left="0" w:right="0" w:firstLine="576"/>
        <w:jc w:val="left"/>
      </w:pPr>
      <w:r>
        <w:rPr/>
        <w:t xml:space="preserve">(1) Covered vessels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220</w:t>
      </w:r>
      <w:r>
        <w:rPr/>
        <w:t xml:space="preserve"> and 2011 c 122 s 5 are each amended to read as follows:</w:t>
      </w:r>
    </w:p>
    <w:p>
      <w:pPr>
        <w:spacing w:before="0" w:after="0" w:line="408" w:lineRule="exact"/>
        <w:ind w:left="0" w:right="0" w:firstLine="576"/>
        <w:jc w:val="left"/>
      </w:pPr>
      <w:r>
        <w:rPr/>
        <w:t xml:space="preserve">(1) The department is responsible for requiring joint large-scale, multiple plan equipment deployment drills of </w:t>
      </w:r>
      <w:r>
        <w:t>((</w:t>
      </w:r>
      <w:r>
        <w:rPr>
          <w:strike/>
        </w:rPr>
        <w:t xml:space="preserve">tank</w:t>
      </w:r>
      <w:r>
        <w:t>))</w:t>
      </w:r>
      <w:r>
        <w:rPr/>
        <w:t xml:space="preserve"> </w:t>
      </w:r>
      <w:r>
        <w:rPr>
          <w:u w:val="single"/>
        </w:rPr>
        <w:t xml:space="preserve">covered</w:t>
      </w:r>
      <w:r>
        <w:rPr/>
        <w:t xml:space="preserve"> vessels to determine the adequacy of the owner's or operator's compliance with the contingency plan requirements of this chapter. The department must order at least one drill as outlined in this section every three years</w:t>
      </w:r>
      <w:r>
        <w:rPr>
          <w:u w:val="single"/>
        </w:rPr>
        <w:t xml:space="preserve">, which must address situations where oils, depending on their qualities, weathering, environmental factors, and method of discharge, may submerge or sink in water</w:t>
      </w:r>
      <w:r>
        <w:rPr/>
        <w:t xml:space="preserve">.</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 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shall, when practicable, coordinate with applicable federal agencies, the state of Oregon, and the province of British Columbia to establish a drill incident command and to help ensure that lessons learned from the drills are evaluated with the goal of improving the underlying contingency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once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167</w:t>
      </w:r>
      <w:r>
        <w:rPr/>
        <w:t xml:space="preserve"> and 2006 c 316 s 2 are each amended to read as follows:</w:t>
      </w:r>
    </w:p>
    <w:p>
      <w:pPr>
        <w:spacing w:before="0" w:after="0" w:line="408" w:lineRule="exact"/>
        <w:ind w:left="0" w:right="0" w:firstLine="576"/>
        <w:jc w:val="left"/>
      </w:pPr>
      <w:r>
        <w:rPr/>
        <w:t xml:space="preserve">In addition to other inspection authority provided for in this chapter and chapter 90.56 RCW, the department may conduct inspections of oil transfer operations regulated under RCW 88.46.160 or 88.46.165. </w:t>
      </w:r>
      <w:r>
        <w:rPr>
          <w:u w:val="single"/>
        </w:rPr>
        <w:t xml:space="preserve">The department must conduct specialized reviews and prioritize adding capacity for the inspection of oil transfer operations where oils, depending on their qualities, weathering, environmental factors, and method of discharge, may submerge or sink in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in consultation with the Puget Sound partnership and the pilotage commission, must complete a report of vessel traffic and vessel traffic safety within the Strait of Juan de Fuca, Puget Sound area that includes the San Juan archipelago, its connected waterways, Haro Strait, Boundary Pass, Rosario Strait, and the waters south of Admiralty Inlet. A draft report, including recommendations, must be completed and submitted, consistent with RCW 43.01.036, to the legislature by December 1, 2018. The final report must be completed and submitted to the legislature by June 30, 2019.</w:t>
      </w:r>
    </w:p>
    <w:p>
      <w:pPr>
        <w:spacing w:before="0" w:after="0" w:line="408" w:lineRule="exact"/>
        <w:ind w:left="0" w:right="0" w:firstLine="576"/>
        <w:jc w:val="left"/>
      </w:pPr>
      <w:r>
        <w:rPr/>
        <w:t xml:space="preserve">(b) In conducting the evaluation to produce the report, the department of ecology must rely only on existing current vessel traffic risk assessments and other available studies, consult with the United States coast guard, maritime experts, including representatives of covered vessels, onshore and offshore facilities, environmental organizations, tribes, commercial and noncommercial fishers, recreational resource users, provincial experts, representatives of the Salish Sea shared waters forum established in section 204 of this act, and other appropriate entities.</w:t>
      </w:r>
    </w:p>
    <w:p>
      <w:pPr>
        <w:spacing w:before="0" w:after="0" w:line="408" w:lineRule="exact"/>
        <w:ind w:left="0" w:right="0" w:firstLine="576"/>
        <w:jc w:val="left"/>
      </w:pPr>
      <w:r>
        <w:rPr/>
        <w:t xml:space="preserve">(2) The report completed under subsection (1) of this section must include an assessment and evaluation of:</w:t>
      </w:r>
    </w:p>
    <w:p>
      <w:pPr>
        <w:spacing w:before="0" w:after="0" w:line="408" w:lineRule="exact"/>
        <w:ind w:left="0" w:right="0" w:firstLine="576"/>
        <w:jc w:val="left"/>
      </w:pPr>
      <w:r>
        <w:rPr/>
        <w:t xml:space="preserve">(a) Worldwide incident and spill data for articulated tug barges and other towed waterborne vessels or barges;</w:t>
      </w:r>
    </w:p>
    <w:p>
      <w:pPr>
        <w:spacing w:before="0" w:after="0" w:line="408" w:lineRule="exact"/>
        <w:ind w:left="0" w:right="0" w:firstLine="576"/>
        <w:jc w:val="left"/>
      </w:pPr>
      <w:r>
        <w:rPr/>
        <w:t xml:space="preserve">(b) Transport of bitumen and diluted bitumen;</w:t>
      </w:r>
    </w:p>
    <w:p>
      <w:pPr>
        <w:spacing w:before="0" w:after="0" w:line="408" w:lineRule="exact"/>
        <w:ind w:left="0" w:right="0" w:firstLine="576"/>
        <w:jc w:val="left"/>
      </w:pPr>
      <w:r>
        <w:rPr/>
        <w:t xml:space="preserve">(c) Emerging trends in vessel traffic;</w:t>
      </w:r>
    </w:p>
    <w:p>
      <w:pPr>
        <w:spacing w:before="0" w:after="0" w:line="408" w:lineRule="exact"/>
        <w:ind w:left="0" w:right="0" w:firstLine="576"/>
        <w:jc w:val="left"/>
      </w:pPr>
      <w:r>
        <w:rPr/>
        <w:t xml:space="preserve">(d) Tug escorts for oil tankers, articulated tug barges, and other towed waterborne vessels or barges, including a review of requirements in California and Alaska;</w:t>
      </w:r>
    </w:p>
    <w:p>
      <w:pPr>
        <w:spacing w:before="0" w:after="0" w:line="408" w:lineRule="exact"/>
        <w:ind w:left="0" w:right="0" w:firstLine="576"/>
        <w:jc w:val="left"/>
      </w:pPr>
      <w:r>
        <w:rPr/>
        <w:t xml:space="preserve">(e) Requirements for tug capabilities to ensure safe escort of vessels, including manning and pilotage needs;</w:t>
      </w:r>
    </w:p>
    <w:p>
      <w:pPr>
        <w:spacing w:before="0" w:after="0" w:line="408" w:lineRule="exact"/>
        <w:ind w:left="0" w:right="0" w:firstLine="576"/>
        <w:jc w:val="left"/>
      </w:pPr>
      <w:r>
        <w:rPr/>
        <w:t xml:space="preserve">(f) An emergency response system in Haro Strait, Boundary Pass, and Rosario Strait, similar to the system implemented by the maritime industry pursuant to RCW 88.46.130;</w:t>
      </w:r>
    </w:p>
    <w:p>
      <w:pPr>
        <w:spacing w:before="0" w:after="0" w:line="408" w:lineRule="exact"/>
        <w:ind w:left="0" w:right="0" w:firstLine="576"/>
        <w:jc w:val="left"/>
      </w:pPr>
      <w:r>
        <w:rPr/>
        <w:t xml:space="preserve">(g) The differences between locations and navigational requirements for vessels transporting petroleum;</w:t>
      </w:r>
    </w:p>
    <w:p>
      <w:pPr>
        <w:spacing w:before="0" w:after="0" w:line="408" w:lineRule="exact"/>
        <w:ind w:left="0" w:right="0" w:firstLine="576"/>
        <w:jc w:val="left"/>
      </w:pPr>
      <w:r>
        <w:rPr/>
        <w:t xml:space="preserve">(h) The economic impact of proposals for tug escorts and limitations on vessel size; and</w:t>
      </w:r>
    </w:p>
    <w:p>
      <w:pPr>
        <w:spacing w:before="0" w:after="0" w:line="408" w:lineRule="exact"/>
        <w:ind w:left="0" w:right="0" w:firstLine="576"/>
        <w:jc w:val="left"/>
      </w:pPr>
      <w:r>
        <w:rPr/>
        <w:t xml:space="preserve">(i)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The report required under subsection (1) of this section must include recommendations for:</w:t>
      </w:r>
    </w:p>
    <w:p>
      <w:pPr>
        <w:spacing w:before="0" w:after="0" w:line="408" w:lineRule="exact"/>
        <w:ind w:left="0" w:right="0" w:firstLine="576"/>
        <w:jc w:val="left"/>
      </w:pPr>
      <w:r>
        <w:rPr/>
        <w:t xml:space="preserve">(a) Vessel traffic management and vessel traffic safety; and</w:t>
      </w:r>
    </w:p>
    <w:p>
      <w:pPr>
        <w:spacing w:before="0" w:after="0" w:line="408" w:lineRule="exact"/>
        <w:ind w:left="0" w:right="0" w:firstLine="576"/>
        <w:jc w:val="left"/>
      </w:pPr>
      <w:r>
        <w:rPr/>
        <w:t xml:space="preserve">(b) The viability of the following in reducing oil spill risk:</w:t>
      </w:r>
    </w:p>
    <w:p>
      <w:pPr>
        <w:spacing w:before="0" w:after="0" w:line="408" w:lineRule="exact"/>
        <w:ind w:left="0" w:right="0" w:firstLine="576"/>
        <w:jc w:val="left"/>
      </w:pPr>
      <w:r>
        <w:rPr/>
        <w:t xml:space="preserve">(i) Tug escorts for oil tankers, articulated tug barges, and other towed waterborne vessels or barges. If tug escorts are determined in this assessment to reduce oil spill risk, the department of ecology must recommend specific requirements and capabilities for tug escorts;</w:t>
      </w:r>
    </w:p>
    <w:p>
      <w:pPr>
        <w:spacing w:before="0" w:after="0" w:line="408" w:lineRule="exact"/>
        <w:ind w:left="0" w:right="0" w:firstLine="576"/>
        <w:jc w:val="left"/>
      </w:pPr>
      <w:r>
        <w:rPr/>
        <w:t xml:space="preserve">(ii) An emergency response system in Haro Strait, Boundary Pass, and Rosario Strait, similar to the system implemented by the maritime industry pursuant to RCW 88.46.130. If the department of ecology determines such a system will decrease oil spill risk, it must also recommend an action plan to implement it.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June 30, 2019.</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FACILITIES, GEOGRAPHIC RESPONSE PLANS, AND SPILL MANAGEMENT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2017 c 239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(3)(a) The department by rule shall determine the contingency plan requirements for railroads transporting oil in bulk.</w:t>
      </w:r>
    </w:p>
    <w:p>
      <w:pPr>
        <w:spacing w:before="0" w:after="0" w:line="408" w:lineRule="exact"/>
        <w:ind w:left="0" w:right="0" w:firstLine="576"/>
        <w:jc w:val="left"/>
      </w:pPr>
      <w:r>
        <w:rPr/>
        <w:t xml:space="preserve">(b)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t xml:space="preserve">(i) Contracted access to oil spill response equipment; or</w:t>
      </w:r>
    </w:p>
    <w:p>
      <w:pPr>
        <w:spacing w:before="0" w:after="0" w:line="408" w:lineRule="exact"/>
        <w:ind w:left="0" w:right="0" w:firstLine="576"/>
        <w:jc w:val="left"/>
      </w:pPr>
      <w:r>
        <w:rPr/>
        <w:t xml:space="preserve">(ii) The completion of more than a total of one basic table-top drill every three years to test the contingency plans.</w:t>
      </w:r>
    </w:p>
    <w:p>
      <w:pPr>
        <w:spacing w:before="0" w:after="0" w:line="408" w:lineRule="exact"/>
        <w:ind w:left="0" w:right="0" w:firstLine="576"/>
        <w:jc w:val="left"/>
      </w:pPr>
      <w:r>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t xml:space="preserve">(v) Annually review the plan for accuracy.</w:t>
      </w:r>
    </w:p>
    <w:p>
      <w:pPr>
        <w:spacing w:before="0" w:after="0" w:line="408" w:lineRule="exact"/>
        <w:ind w:left="0" w:right="0" w:firstLine="576"/>
        <w:jc w:val="left"/>
      </w:pPr>
      <w:r>
        <w:rPr/>
        <w:t xml:space="preserve">(d) Federal oil spill response plans created pursuant to 33 U.S.C. Sec. 1321 may be submitted in lieu of contingency plans by a class III railroad transporting oil in bulk that is not crude oil.</w:t>
      </w:r>
    </w:p>
    <w:p>
      <w:pPr>
        <w:spacing w:before="0" w:after="0" w:line="408" w:lineRule="exact"/>
        <w:ind w:left="0" w:right="0" w:firstLine="576"/>
        <w:jc w:val="left"/>
      </w:pPr>
      <w:r>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90.56.210, the department must update rules for contingency plans to require:</w:t>
      </w:r>
    </w:p>
    <w:p>
      <w:pPr>
        <w:spacing w:before="0" w:after="0" w:line="408" w:lineRule="exact"/>
        <w:ind w:left="0" w:right="0" w:firstLine="576"/>
        <w:jc w:val="left"/>
      </w:pPr>
      <w:r>
        <w:rPr/>
        <w:t xml:space="preserve">(1) Covered facilities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u w:val="single"/>
        </w:rPr>
        <w:t xml:space="preserve">(1)</w:t>
      </w:r>
      <w:r>
        <w:rPr/>
        <w:t xml:space="preserve"> 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0" w:after="0" w:line="408" w:lineRule="exact"/>
        <w:ind w:left="0" w:right="0" w:firstLine="576"/>
        <w:jc w:val="left"/>
      </w:pPr>
      <w:r>
        <w:rPr>
          <w:u w:val="single"/>
        </w:rPr>
        <w:t xml:space="preserve">(2) For the purposes of this section, "spill management" means managing:</w:t>
      </w:r>
    </w:p>
    <w:p>
      <w:pPr>
        <w:spacing w:before="0" w:after="0" w:line="408" w:lineRule="exact"/>
        <w:ind w:left="0" w:right="0" w:firstLine="576"/>
        <w:jc w:val="left"/>
      </w:pPr>
      <w:r>
        <w:rPr>
          <w:u w:val="single"/>
        </w:rPr>
        <w:t xml:space="preserve">(a)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(b) Wildlife rehabilitation and recovery services for a spill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569</w:t>
      </w:r>
      <w:r>
        <w:rPr/>
        <w:t xml:space="preserve"> and 2015 c 274 s 25 are each amended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r>
        <w:t>((</w:t>
      </w:r>
      <w:r>
        <w:rPr>
          <w:strike/>
        </w:rPr>
        <w:t xml:space="preserve">:</w:t>
      </w:r>
    </w:p>
    <w:p>
      <w:pPr>
        <w:spacing w:before="0" w:after="0" w:line="408" w:lineRule="exact"/>
        <w:ind w:left="0" w:right="0" w:firstLine="576"/>
        <w:jc w:val="left"/>
      </w:pPr>
      <w:r>
        <w:rPr>
          <w:strike/>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strike/>
        </w:rPr>
        <w:t xml:space="preserve">(b)</w:t>
      </w:r>
      <w:r>
        <w:t>))</w:t>
      </w:r>
      <w:r>
        <w:rPr/>
        <w:t xml:space="preserve"> </w:t>
      </w:r>
      <w:r>
        <w:rPr>
          <w:u w:val="single"/>
        </w:rPr>
        <w:t xml:space="preserve">u</w:t>
      </w:r>
      <w:r>
        <w:rPr/>
        <w:t xml:space="preserve">pdates </w:t>
      </w:r>
      <w:r>
        <w:t>((</w:t>
      </w:r>
      <w:r>
        <w:rPr>
          <w:strike/>
        </w:rPr>
        <w:t xml:space="preserve">every two years, beginning</w:t>
      </w:r>
      <w:r>
        <w:t>))</w:t>
      </w:r>
      <w:r>
        <w:rPr/>
        <w:t xml:space="preserve"> </w:t>
      </w:r>
      <w:r>
        <w:rPr>
          <w:u w:val="single"/>
        </w:rPr>
        <w:t xml:space="preserve">by</w:t>
      </w:r>
      <w:r>
        <w:rPr/>
        <w:t xml:space="preserve"> December 31, </w:t>
      </w:r>
      <w:r>
        <w:t>((</w:t>
      </w:r>
      <w:r>
        <w:rPr>
          <w:strike/>
        </w:rPr>
        <w:t xml:space="preserve">2017</w:t>
      </w:r>
      <w:r>
        <w:t>))</w:t>
      </w:r>
      <w:r>
        <w:rPr/>
        <w:t xml:space="preserve"> </w:t>
      </w:r>
      <w:r>
        <w:rPr>
          <w:u w:val="single"/>
        </w:rPr>
        <w:t xml:space="preserve">2019</w:t>
      </w:r>
      <w:r>
        <w:rPr/>
        <w:t xml:space="preserve">, and </w:t>
      </w:r>
      <w:r>
        <w:t>((</w:t>
      </w:r>
      <w:r>
        <w:rPr>
          <w:strike/>
        </w:rPr>
        <w:t xml:space="preserve">ending</w:t>
      </w:r>
      <w:r>
        <w:t>))</w:t>
      </w:r>
      <w:r>
        <w:rPr/>
        <w:t xml:space="preserve">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w:t>
      </w:r>
      <w:r>
        <w:t>((</w:t>
      </w:r>
      <w:r>
        <w:rPr>
          <w:strike/>
        </w:rPr>
        <w:t xml:space="preserve">The department must contract, if practicable, with eligible independent third parties to ensure completion by December 1, 2017, of at least fifty percent of the geographic response plans as needed in contingency plans required under RCW 90.56.210 and 88.46.060 for the state.</w:t>
      </w:r>
      <w:r>
        <w:t>))</w:t>
      </w:r>
      <w:r>
        <w:rPr/>
        <w:t xml:space="preserve"> </w:t>
      </w:r>
      <w:r>
        <w:rPr>
          <w:u w:val="single"/>
        </w:rPr>
        <w:t xml:space="preserve">In its updates of geographic response plans, the department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is responsible for requiring joint large-scale, multiple plan equipment deployment drills of onshore and offshore facilities and covered vessels under chapter 88.46 RCW to determine the adequacy of the owner's or operator's compliance with the contingency plan requirements of this chapter and chapter 88.46 RCW. The department must order at least one drill as outlined in this section every three years, which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must prioritize drills for situations where oils, depending on their qualities, weathering, environmental factors, and method of discharge, may submerge or sink in water.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SEVERABILITY AND EMERGENCY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and 206 of this act are necessary for the immediate preservation of the public peace, health, or safety, or support of the state government and its existing public institutions, and take effect April 1, 2018.</w:t>
      </w:r>
    </w:p>
    <w:p/>
    <w:p>
      <w:pPr>
        <w:jc w:val="center"/>
      </w:pPr>
      <w:r>
        <w:rPr>
          <w:b/>
        </w:rPr>
        <w:t>--- END ---</w:t>
      </w:r>
    </w:p>
    <w:sectPr>
      <w:pgNumType w:start="1"/>
      <w:footerReference xmlns:r="http://schemas.openxmlformats.org/officeDocument/2006/relationships" r:id="R8724531bc2e745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20d1ec0274cd1" /><Relationship Type="http://schemas.openxmlformats.org/officeDocument/2006/relationships/footer" Target="/word/footer.xml" Id="R8724531bc2e745d2" /></Relationships>
</file>