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e694af7676416a" /></Relationships>
</file>

<file path=word/document.xml><?xml version="1.0" encoding="utf-8"?>
<w:document xmlns:w="http://schemas.openxmlformats.org/wordprocessingml/2006/main">
  <w:body>
    <w:p>
      <w:r>
        <w:t>S-3349.1</w:t>
      </w:r>
    </w:p>
    <w:p>
      <w:pPr>
        <w:jc w:val="center"/>
      </w:pPr>
      <w:r>
        <w:t>_______________________________________________</w:t>
      </w:r>
    </w:p>
    <w:p/>
    <w:p>
      <w:pPr>
        <w:jc w:val="center"/>
      </w:pPr>
      <w:r>
        <w:rPr>
          <w:b/>
        </w:rPr>
        <w:t>SENATE BILL 6297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Dhingra, Palumbo, Darneille, Mullet, Saldaña, Takko, Frockt, Rolfes, Kuderer, Cleveland, Chase, Carlyle, Wellman, Hasegawa, Ranker, Keiser, Liias, Billig, Nelson, McCoy, Van De Wege, Pedersen, Hunt, and Conway</w:t>
      </w:r>
    </w:p>
    <w:p/>
    <w:p>
      <w:r>
        <w:rPr>
          <w:t xml:space="preserve">Read first time 01/11/18.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provisions governing firearms possession by persons who have been found incompetent to stand trial and who have a history of one or more violent acts; amending RCW 10.77.088, 9.41.040, and 9.41.047;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 The placement under (a)(i) and (ii) of this subsection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t xml:space="preserve">(iv) May order any combination of this subsection.</w:t>
      </w:r>
    </w:p>
    <w:p>
      <w:pPr>
        <w:spacing w:before="0" w:after="0" w:line="408" w:lineRule="exact"/>
        <w:ind w:left="0" w:right="0" w:firstLine="576"/>
        <w:jc w:val="left"/>
      </w:pPr>
      <w:r>
        <w:rPr/>
        <w:t xml:space="preserve">(b)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t xml:space="preserve">(c)(i)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r>
        <w:t>((</w:t>
      </w:r>
      <w:r>
        <w:rPr>
          <w:strike/>
        </w:rPr>
        <w:t xml:space="preserve">:</w:t>
      </w:r>
      <w:r>
        <w:t>))</w:t>
      </w:r>
      <w:r>
        <w:rPr/>
        <w:t xml:space="preserve"> </w:t>
      </w:r>
      <w:r>
        <w:rPr>
          <w:u w:val="single"/>
        </w:rPr>
        <w:t xml:space="preserve">and found by the court to be not competent, t</w:t>
      </w:r>
      <w:r>
        <w:rPr/>
        <w:t xml:space="preserve">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0" w:after="0" w:line="408" w:lineRule="exact"/>
        <w:ind w:left="0" w:right="0" w:firstLine="576"/>
        <w:jc w:val="left"/>
      </w:pPr>
      <w:r>
        <w:rPr>
          <w:u w:val="single"/>
        </w:rPr>
        <w:t xml:space="preserve">(3) If at any time the court dismisses charges under subsection (1) or (2)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2017 c 233 s 4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w:t>
      </w:r>
      <w:r>
        <w:rPr>
          <w:u w:val="single"/>
        </w:rPr>
        <w:t xml:space="preserve">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u w:val="single"/>
        </w:rPr>
        <w:t xml:space="preserve">(v)</w:t>
      </w:r>
      <w:r>
        <w:rPr/>
        <w:t xml:space="preserve"> If the person is under eighteen years of age, except as provided in RCW 9.41.042; and/or</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2016 c 93 s 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w:t>
      </w:r>
      <w:r>
        <w:rPr>
          <w:u w:val="single"/>
        </w:rPr>
        <w:t xml:space="preserve">or at the time that charges are dismissed based on incompetency to stand trial under RCW 10.77.088 and the court makes a finding indicating that the person has a history of one or more violent acts,</w:t>
      </w:r>
      <w:r>
        <w:rPr/>
        <w:t xml:space="preserve">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w:t>
      </w:r>
      <w:r>
        <w:t>((</w:t>
      </w:r>
      <w:r>
        <w:rPr>
          <w:strike/>
        </w:rPr>
        <w:t xml:space="preserve">convicting or committing</w:t>
      </w:r>
      <w:r>
        <w:t>))</w:t>
      </w:r>
      <w:r>
        <w:rPr/>
        <w:t xml:space="preserve"> court </w:t>
      </w:r>
      <w:r>
        <w:rPr>
          <w:u w:val="single"/>
        </w:rPr>
        <w:t xml:space="preserve">which convicts or commits the person or finds the person incompetent to stand trial</w:t>
      </w:r>
      <w:r>
        <w:rPr/>
        <w:t xml:space="preserve">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w:t>
      </w:r>
      <w:r>
        <w:rPr>
          <w:u w:val="single"/>
        </w:rPr>
        <w:t xml:space="preserve">, or whose charges are dismissed based on incompetency to stand trial under RCW 10.77.088 and the court makes a finding indicating that the person has a history of one or more violent acts,</w:t>
      </w:r>
      <w:r>
        <w:rPr/>
        <w:t xml:space="preserve">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w:t>
      </w:r>
      <w:r>
        <w:rPr>
          <w:u w:val="single"/>
        </w:rPr>
        <w:t xml:space="preserve">or dismissed the charges based on incompetency to stand trial,</w:t>
      </w:r>
      <w:r>
        <w:rPr/>
        <w:t xml:space="preserve">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
      <w:pPr>
        <w:jc w:val="center"/>
      </w:pPr>
      <w:r>
        <w:rPr>
          <w:b/>
        </w:rPr>
        <w:t>--- END ---</w:t>
      </w:r>
    </w:p>
    <w:sectPr>
      <w:pgNumType w:start="1"/>
      <w:footerReference xmlns:r="http://schemas.openxmlformats.org/officeDocument/2006/relationships" r:id="Ra1749e55197f4c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fa6cb979164e9b" /><Relationship Type="http://schemas.openxmlformats.org/officeDocument/2006/relationships/footer" Target="/word/footer.xml" Id="Ra1749e55197f4c72" /></Relationships>
</file>