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11f5c677048dd" /></Relationships>
</file>

<file path=word/document.xml><?xml version="1.0" encoding="utf-8"?>
<w:document xmlns:w="http://schemas.openxmlformats.org/wordprocessingml/2006/main">
  <w:body>
    <w:p>
      <w:r>
        <w:t>S-4588.1</w:t>
      </w:r>
    </w:p>
    <w:p>
      <w:pPr>
        <w:jc w:val="center"/>
      </w:pPr>
      <w:r>
        <w:t>_______________________________________________</w:t>
      </w:r>
    </w:p>
    <w:p/>
    <w:p>
      <w:pPr>
        <w:jc w:val="center"/>
      </w:pPr>
      <w:r>
        <w:rPr>
          <w:b/>
        </w:rPr>
        <w:t>SUBSTITUTE SENATE BILL 6323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Hobbs and Brown)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amending RCW 82.04.310;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as required under state law; and</w:t>
      </w:r>
    </w:p>
    <w:p>
      <w:pPr>
        <w:spacing w:before="0" w:after="0" w:line="408" w:lineRule="exact"/>
        <w:ind w:left="0" w:right="0" w:firstLine="576"/>
        <w:jc w:val="left"/>
      </w:pPr>
      <w:r>
        <w:rPr/>
        <w:t xml:space="preserve">(c) To increase funds dedicated to low-income ratepayer assistance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the purchase of eligible renewable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and that the funds generated for low-income ratepayer assistance be additive to any existing funds used by the utility for that purpose.</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2029,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or weatherization. Utilities must give priority to uses of funds that permanently lower energy costs for low-income ratepayers. The funds generated for low-income ratepayer assistance under this subsection must be additive to and not supplant any existing funds used by the utility for low-income ratepayer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646f5514e34940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df2161ce7e48aa" /><Relationship Type="http://schemas.openxmlformats.org/officeDocument/2006/relationships/footer" Target="/word/footer.xml" Id="R646f5514e349405f" /></Relationships>
</file>