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f4a386f2444921" /></Relationships>
</file>

<file path=word/document.xml><?xml version="1.0" encoding="utf-8"?>
<w:document xmlns:w="http://schemas.openxmlformats.org/wordprocessingml/2006/main">
  <w:body>
    <w:p>
      <w:r>
        <w:t>S-4602.1</w:t>
      </w:r>
    </w:p>
    <w:p>
      <w:pPr>
        <w:jc w:val="center"/>
      </w:pPr>
      <w:r>
        <w:t>_______________________________________________</w:t>
      </w:r>
    </w:p>
    <w:p/>
    <w:p>
      <w:pPr>
        <w:jc w:val="center"/>
      </w:pPr>
      <w:r>
        <w:rPr>
          <w:b/>
        </w:rPr>
        <w:t>SUBSTITUTE SENATE BILL 6346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 Takko)</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sale of wine by microbrewery license holders; and amending RCW 66.24.244.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2015 c 42 s 1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w:t>
      </w:r>
      <w:r>
        <w:rPr>
          <w:u w:val="single"/>
        </w:rPr>
        <w:t xml:space="preserve">A microbrewery licensed under this section may apply to the board for an endorsement to sell glasses of wine produced by a domestic winery for on-premises consumption. The annual fee for this endorsement is one hundred twenty-five dollars.</w:t>
      </w:r>
    </w:p>
    <w:p>
      <w:pPr>
        <w:spacing w:before="0" w:after="0" w:line="408" w:lineRule="exact"/>
        <w:ind w:left="0" w:right="0" w:firstLine="576"/>
        <w:jc w:val="left"/>
      </w:pPr>
      <w:r>
        <w:rPr>
          <w:u w:val="single"/>
        </w:rPr>
        <w:t xml:space="preserve">(5)</w:t>
      </w:r>
      <w:r>
        <w:rPr/>
        <w:t xml:space="preserve"> The board may issue up to two retail licenses allowing a microbrewery to operate an on or off-premises tavern, beer and/or wine restaurant, or spirits, beer, and wine restaurant.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A microbrewery licensed under this section may apply to the board for an endorsement to sell bottled beer of its own production at retail for off-premises consumption at a qualifying farmers market. The annual fee for this endorsement is seventy-five dollars. 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w:t>
      </w:r>
      <w:r>
        <w:t>((</w:t>
      </w:r>
      <w:r>
        <w:rPr>
          <w:strike/>
        </w:rPr>
        <w:t xml:space="preserve">(6)</w:t>
      </w:r>
      <w:r>
        <w:t>))</w:t>
      </w:r>
      <w:r>
        <w:rPr/>
        <w:t xml:space="preserve"> </w:t>
      </w:r>
      <w:r>
        <w:rPr>
          <w:u w:val="single"/>
        </w:rPr>
        <w:t xml:space="preserve">(7)</w:t>
      </w:r>
      <w:r>
        <w:rPr/>
        <w:t xml:space="preserve">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w:t>
      </w:r>
      <w:r>
        <w:t>((</w:t>
      </w:r>
      <w:r>
        <w:rPr>
          <w:strike/>
        </w:rPr>
        <w:t xml:space="preserve">(6)</w:t>
      </w:r>
      <w:r>
        <w:t>))</w:t>
      </w:r>
      <w:r>
        <w:rPr/>
        <w:t xml:space="preserve"> </w:t>
      </w:r>
      <w:r>
        <w:rPr>
          <w:u w:val="single"/>
        </w:rPr>
        <w:t xml:space="preserve">(7)</w:t>
      </w:r>
      <w:r>
        <w:rPr/>
        <w:t xml:space="preserve"> to sell bottled beer at retail at the farmers market. This application must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must notify the persons or entities of the application for authorization pursuant to RCW 66.24.010 (8) and (9). An authorization granted under this subsection </w:t>
      </w:r>
      <w:r>
        <w:t>((</w:t>
      </w:r>
      <w:r>
        <w:rPr>
          <w:strike/>
        </w:rPr>
        <w:t xml:space="preserve">(6)</w:t>
      </w:r>
      <w:r>
        <w:t>))</w:t>
      </w:r>
      <w:r>
        <w:rPr/>
        <w:t xml:space="preserve"> </w:t>
      </w:r>
      <w:r>
        <w:rPr>
          <w:u w:val="single"/>
        </w:rPr>
        <w:t xml:space="preserve">(7)</w:t>
      </w:r>
      <w:r>
        <w:rPr/>
        <w:t xml:space="preserve">(f)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microbrewery licensed under this section may contract</w:t>
      </w:r>
      <w:r>
        <w:rPr/>
        <w:noBreakHyphen/>
      </w:r>
      <w:r>
        <w:rPr/>
        <w:t xml:space="preserve">produce beer for another microbrewer. This contract-production is not a sale for the purposes of RCW 66.28.170 and 66.28.180.</w:t>
      </w:r>
    </w:p>
    <w:p/>
    <w:p>
      <w:pPr>
        <w:jc w:val="center"/>
      </w:pPr>
      <w:r>
        <w:rPr>
          <w:b/>
        </w:rPr>
        <w:t>--- END ---</w:t>
      </w:r>
    </w:p>
    <w:sectPr>
      <w:pgNumType w:start="1"/>
      <w:footerReference xmlns:r="http://schemas.openxmlformats.org/officeDocument/2006/relationships" r:id="R7841f47eddff45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c7de58e6c4027" /><Relationship Type="http://schemas.openxmlformats.org/officeDocument/2006/relationships/footer" Target="/word/footer.xml" Id="R7841f47eddff4519" /></Relationships>
</file>