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32d14a176461c" /></Relationships>
</file>

<file path=word/document.xml><?xml version="1.0" encoding="utf-8"?>
<w:document xmlns:w="http://schemas.openxmlformats.org/wordprocessingml/2006/main">
  <w:body>
    <w:p>
      <w:r>
        <w:t>S-4739.1</w:t>
      </w:r>
    </w:p>
    <w:p>
      <w:pPr>
        <w:jc w:val="center"/>
      </w:pPr>
      <w:r>
        <w:t>_______________________________________________</w:t>
      </w:r>
    </w:p>
    <w:p/>
    <w:p>
      <w:pPr>
        <w:jc w:val="center"/>
      </w:pPr>
      <w:r>
        <w:rPr>
          <w:b/>
        </w:rPr>
        <w:t>SECOND SUBSTITUTE SENATE BILL 6353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Hunt, Billig, Kuderer, Saldaña, Conway, Carlyle, Hasegawa, Dhingra, McCoy, Nelson, Mullet, Liias, Rolfes, Hobbs, Keiser, Cleveland, Chase, Darneille, Frockt, Palumbo, Van De Wege, Ranker, Wellman, Takko, and Pedersen; by request of Governor Inslee)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29A.08.410, 29A.08.420, and 29A.08.720; adding new sections to chapter 29A.08 RCW; adding a new section to chapter 46.20 RCW; adding new sections to chapter 29A.04 RCW; adding a new section to chapter 29A.84 RCW; creating new sections;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citizenship information. The applicant is considered to be registered to vote as of the original date of application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as of the original date of application.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an office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Citizenship information, verified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203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who reside in Washington, are age eighteen years or older,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establish automatic voter registration criteria and procedures, and ensure that sufficient information is provided to the secretary of state, to allow the secretary of state to obtain a digital copy of the person's signature when available from the department of licensing.</w:t>
      </w:r>
    </w:p>
    <w:p>
      <w:pPr>
        <w:spacing w:before="0" w:after="0" w:line="408" w:lineRule="exact"/>
        <w:ind w:left="0" w:right="0" w:firstLine="576"/>
        <w:jc w:val="left"/>
      </w:pPr>
      <w:r>
        <w:rPr/>
        <w:t xml:space="preserve">(3) If the health benefit exchange determines, in consultation with the health care authority, that implementation of the bill will require application or process changes subject to approval from the centers for medicare and medicaid services, participation of the health benefit exchange is contingent on approval from the centers for medicare and medicaid services. If applicable, the exchange shall report any known barriers or impediments to implementation of automatic voter registration to the appropriate committees of the legislature and to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201 of this act, and with each related recertification, renewal, or change of address, each qualified voter registration agency that chooses to or is required to provide automatic voter registration services, as provided in section 201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203(2)(b)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203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that elects to provide automatic voter registration services shall promptly transmit to the secretary of state the information of each person for whom it retains all the information listed in section 203(2)(b) (i) through (vi) of this act on July 1, 2020.</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203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becomes registered to vote under section 102 or 203 of this act, and votes or attempts to vote in an election held after the effective date of the person's registration is presumed to have acted with official authorization and not to be guilty of violating RCW 29A.84.130.</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shall conduct an investigation to determine the cause. Agencies participating in automatic voter registration shall cooperate fully with the secretary of state for the purposes of the investigation. Upon completion of the investigation, a report detailing the findings of the investigation must be submitted to the governor and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STUDY OF AUTOMATIC VOTER REGISTRATION AT BIRTH AND OF NATURALIZED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citizens in the voter registration system. Information from certificates of birth filed with the state should be automatically integrated into the existing voter registration process in preparation for those citizens' participation in voting. Voter registration should not be an impediment or hurdle to participation in the election process, but rather a function of properly administered elections. Continued improvement in database integration across state and local agencies should be applied to a modernized voter registration process and database in order to facilitate eligible citizens' participation in future elections. Voter registration should automatically occur at birth when a certificate of live birth has been filed with the state, bringing that new state citizen a step closer to fulfilling the current registration requirements, without changing those existing regulations. A task force should facilitate proper implementation of this streamlining technology integration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residents who recently completed the naturalization process, and for an automatic voter registration process at birth.</w:t>
      </w:r>
    </w:p>
    <w:p>
      <w:pPr>
        <w:spacing w:before="0" w:after="0" w:line="408" w:lineRule="exact"/>
        <w:ind w:left="0" w:right="0" w:firstLine="576"/>
        <w:jc w:val="left"/>
      </w:pPr>
      <w:r>
        <w:rPr/>
        <w:t xml:space="preserve">(2) For the automatic registration of residents who recently completed the naturalization process, the office should consult with federal agencies involved with naturalization to determine the feasibility of options for developing an automatic voter registration process for such persons.</w:t>
      </w:r>
    </w:p>
    <w:p>
      <w:pPr>
        <w:spacing w:before="0" w:after="0" w:line="408" w:lineRule="exact"/>
        <w:ind w:left="0" w:right="0" w:firstLine="576"/>
        <w:jc w:val="left"/>
      </w:pPr>
      <w:r>
        <w:rPr/>
        <w:t xml:space="preserve">(3) For automatic registration at birth, the office should consult with relevant state agencies that collect and maintain records containing personal information and consider ways for transferring and sharing such information with voter registration databases. Such considerations should include issues regarding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w:t>
      </w:r>
    </w:p>
    <w:p>
      <w:pPr>
        <w:spacing w:before="0" w:after="0" w:line="408" w:lineRule="exact"/>
        <w:ind w:left="0" w:right="0" w:firstLine="576"/>
        <w:jc w:val="left"/>
      </w:pPr>
      <w:r>
        <w:rPr/>
        <w:t xml:space="preserve">(4) The office must prepare a report to the appropriate legislative standing committees by December 1, 2019, that includes each study and proposed recommendations, including any legislative authority that may be needed to implement the proposed recommendations.</w:t>
      </w:r>
    </w:p>
    <w:p>
      <w:pPr>
        <w:spacing w:before="0" w:after="0" w:line="408" w:lineRule="exact"/>
        <w:ind w:left="0" w:right="0" w:firstLine="576"/>
        <w:jc w:val="left"/>
      </w:pPr>
      <w:r>
        <w:rPr/>
        <w:t xml:space="preserve">(5) This section expires June 30,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210 of this act take effect July 1, 2019. Automatic voter registration at the department of licensing under sections 101 through 106 of this act must be implemented by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July 1, 2018.</w:t>
      </w:r>
    </w:p>
    <w:p/>
    <w:p>
      <w:pPr>
        <w:jc w:val="center"/>
      </w:pPr>
      <w:r>
        <w:rPr>
          <w:b/>
        </w:rPr>
        <w:t>--- END ---</w:t>
      </w:r>
    </w:p>
    <w:sectPr>
      <w:pgNumType w:start="1"/>
      <w:footerReference xmlns:r="http://schemas.openxmlformats.org/officeDocument/2006/relationships" r:id="R5102ad36380243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e78ab267041b8" /><Relationship Type="http://schemas.openxmlformats.org/officeDocument/2006/relationships/footer" Target="/word/footer.xml" Id="R5102ad36380243f9" /></Relationships>
</file>