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581c99f7b40a0" /></Relationships>
</file>

<file path=word/document.xml><?xml version="1.0" encoding="utf-8"?>
<w:document xmlns:w="http://schemas.openxmlformats.org/wordprocessingml/2006/main">
  <w:body>
    <w:p>
      <w:r>
        <w:t>S-4909.1</w:t>
      </w:r>
    </w:p>
    <w:p>
      <w:pPr>
        <w:jc w:val="center"/>
      </w:pPr>
      <w:r>
        <w:t>_______________________________________________</w:t>
      </w:r>
    </w:p>
    <w:p/>
    <w:p>
      <w:pPr>
        <w:jc w:val="center"/>
      </w:pPr>
      <w:r>
        <w:rPr>
          <w:b/>
        </w:rPr>
        <w:t>THIRD SUBSTITUTE SENATE BILL 6353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Hunt, Billig, Kuderer, Saldaña, Conway, Carlyle, Hasegawa, Dhingra, McCoy, Nelson, Mullet, Liias, Rolfes, Hobbs, Keiser, Cleveland, Chase, Darneille, Frockt, Palumbo, Van De Wege, Ranker, Wellman, Takko, and Pedersen;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29A.08.350, 29A.08.410, 29A.08.420, 29A.08.720, 29A.08.110, and 29A.08.710; adding new sections to chapter 29A.08 RCW; adding a new section to chapter 46.20 RCW; adding new sections to chapter 29A.04 RCW; adding a new section to chapter 29A.84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or changing the address for an existing enhanced driver's license or identicard pursuant to RCW 46.20.205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101 of this act does not decline registration, the application is submitted pursuant to RCW 29A.08.350.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101 of this act, an application is considered complete only if it contains the information required by RCW 29A.08.010 and verification of citizenship. The applicant is considered to be registered to vote as of the original date of application or renewal of an enhanced driver's license or identicard issued under RCW 46.20.202 or application for change of address for an existing enhanced driver's license or identicard pursuant to RCW 46.20.205.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information used to verify identity with any federal agency unless required by law. The department may not retain any records or documentation used to certify eligibility to vote under this section once the certification process has been completed and recorded unless required by law.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verified United States citizenship, who are applying for or renewing an enhanced driver's license or identicard under RCW 46.20.202 or applying for a change of address for an existing enhanced driver's license or identicard pursuant to RCW 46.20.205, and who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ENHANCING VOTER REGISTRATION AT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Washington healthplanfinder applicants, including applicants who file changes of address, who reside in Washington, are age eighteen years or older, are verified citizens, and do not decline the option,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w:t>
      </w:r>
    </w:p>
    <w:p>
      <w:pPr>
        <w:spacing w:before="0" w:after="0" w:line="408" w:lineRule="exact"/>
        <w:ind w:left="0" w:right="0" w:firstLine="576"/>
        <w:jc w:val="left"/>
      </w:pPr>
      <w:r>
        <w:rPr/>
        <w:t xml:space="preserve">(3) If applicable, the health benefit exchange shall report any known barriers or impediments to implementation of this section to the appropriate committees of the legislature and the governor no later than December 1, 2019.</w:t>
      </w:r>
    </w:p>
    <w:p>
      <w:pPr>
        <w:spacing w:before="0" w:after="0" w:line="408" w:lineRule="exact"/>
        <w:ind w:left="0" w:right="0" w:firstLine="576"/>
        <w:jc w:val="left"/>
      </w:pPr>
      <w:r>
        <w:rPr/>
        <w:t xml:space="preserve">(4) The health benefit exchange is prohibited from sharing information used to verify identity with any federal agency unless required by law. The exchange may not retain any records or documentation used to certify eligibility to vote under this section once the certification process has been completed and recorded unless required by law. The exchange must protect the confidentiality of information to be shared pursuant to RCW 43.71.050.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consult with the secretary of state's office to establish automatic voter registration criteria and procedures. If the exchange implements automatic voter registration, it shall do so as a qualified voter registration agency under sections 301 through 309 of this act.</w:t>
      </w:r>
    </w:p>
    <w:p>
      <w:pPr>
        <w:spacing w:before="0" w:after="0" w:line="408" w:lineRule="exact"/>
        <w:ind w:left="0" w:right="0" w:firstLine="576"/>
        <w:jc w:val="left"/>
      </w:pPr>
      <w:r>
        <w:rPr/>
        <w:t xml:space="preserve">(2) If the health benefit exchange determines, in consultation with the health care authority, that implementation of automatic voter registration will require application or process changes subject to approval from the centers for medicare and medicaid services, implementation is contingent on approval from the centers for medicare and medicaid services. If applicable, the exchange shall report any known barriers or impediments to implementation of automatic voter registration to the appropriate committees of the legislature and the governor no later than December 1, 2019.</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department of agriculture, the department of veterans affairs, the military department, and the business professions division of the department of licensing, or a state agency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302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301 of this act, and with each related recertification, renewal, or change of address, each qualified voter registration agency that chooses to or is required to provide automatic voter registration services, as provided in section 301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w:t>
      </w:r>
    </w:p>
    <w:p>
      <w:pPr>
        <w:spacing w:before="0" w:after="0" w:line="408" w:lineRule="exact"/>
        <w:ind w:left="0" w:right="0" w:firstLine="576"/>
        <w:jc w:val="left"/>
      </w:pPr>
      <w:r>
        <w:rPr/>
        <w:t xml:space="preserve">(5) Each qualified voter registration agency is prohibited from sharing information used to verify identity with any federal agency unless required by law. The agency may not retain any records or documentation used to certify eligibility to vote under this section once the certification process has been completed and recorded unless required by law. Personal information in files maintained for patients or clients of agencies providing public assistance or services to persons with disabilities is exempt from public inspection pursuant to RCW 42.56.230, 74.04.060, and 74.18.127.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302(2)(b)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302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that elects to provide automatic voter registration services shall promptly transmit to the secretary of state the information of each person for whom it retains all the information listed in section 302(2)(b) (i) through (vi) of this act on July 1, 2020.</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automatically registered to vote under section 101 or 302 of this act in the absence of a knowing violation by that person of RCW 29A.84.140, that person's registration is presumed to not be the fault of that person.</w:t>
      </w:r>
    </w:p>
    <w:p>
      <w:pPr>
        <w:spacing w:before="0" w:after="0" w:line="408" w:lineRule="exact"/>
        <w:ind w:left="0" w:right="0" w:firstLine="576"/>
        <w:jc w:val="left"/>
      </w:pPr>
      <w:r>
        <w:rPr/>
        <w:t xml:space="preserve">(2) If a person who is ineligible to vote becomes automatically registered to vote under section 102 or 302 of this act and votes or attempts to vote in the absence of a knowing violation by that person of RCW 29A.84.130, that person's vote is presumed not to be the fault of that person.</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w:t>
      </w:r>
    </w:p>
    <w:p>
      <w:pPr>
        <w:spacing w:before="0" w:after="0" w:line="408" w:lineRule="exact"/>
        <w:ind w:left="0" w:right="0" w:firstLine="576"/>
        <w:jc w:val="left"/>
      </w:pPr>
      <w:r>
        <w:rPr>
          <w:u w:val="single"/>
        </w:rPr>
        <w:t xml:space="preserve">(6) Submitting information to the health benefit exchange; or</w:t>
      </w:r>
    </w:p>
    <w:p>
      <w:pPr>
        <w:spacing w:before="0" w:after="0" w:line="408" w:lineRule="exact"/>
        <w:ind w:left="0" w:right="0" w:firstLine="576"/>
        <w:jc w:val="left"/>
      </w:pPr>
      <w:r>
        <w:rPr>
          <w:u w:val="single"/>
        </w:rPr>
        <w:t xml:space="preserve">(7)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the health benefit exchange,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w:t>
      </w:r>
      <w:r>
        <w:rPr>
          <w:u w:val="single"/>
        </w:rPr>
        <w:t xml:space="preserve">, the health benefit exchange,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STUDY OF AUTOMATIC VOTER REGISTRATION AT BIRTH AND OF NATURALIZED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advances in database integration and technology can create streamlined, less bureaucratic, and more efficient processes for citizens in the voter registration system. Information from certificates of birth filed with the state should be automatically integrated into the existing voter registration process in preparation for those citizens' participation in voting. Voter registration should not be an impediment or hurdle to participation in the election process, but rather a function of properly administered elections. Continued improvement in database integration across state and local agencies should be applied to a modernized voter registration process and database in order to facilitate eligible citizens' participation in future elections. Voter registration should automatically occur at birth when a certificate of live birth has been filed with the state, bringing that new state citizen a step closer to fulfilling the current registration requirements, without changing those existing regulations. A task force should facilitate proper implementation of this streamlining technology integration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309 of this act take effect July 1, 2019. Automatic voter registration at the department of licensing under sections 101 through 105 of this act must be implemented by July 1, 2019.</w:t>
      </w:r>
    </w:p>
    <w:p/>
    <w:p>
      <w:pPr>
        <w:jc w:val="center"/>
      </w:pPr>
      <w:r>
        <w:rPr>
          <w:b/>
        </w:rPr>
        <w:t>--- END ---</w:t>
      </w:r>
    </w:p>
    <w:sectPr>
      <w:pgNumType w:start="1"/>
      <w:footerReference xmlns:r="http://schemas.openxmlformats.org/officeDocument/2006/relationships" r:id="R1cbe3533b6ff41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fea4137614521" /><Relationship Type="http://schemas.openxmlformats.org/officeDocument/2006/relationships/footer" Target="/word/footer.xml" Id="R1cbe3533b6ff41bd" /></Relationships>
</file>