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c2fd752e9b4cbb" /></Relationships>
</file>

<file path=word/document.xml><?xml version="1.0" encoding="utf-8"?>
<w:document xmlns:w="http://schemas.openxmlformats.org/wordprocessingml/2006/main">
  <w:body>
    <w:p>
      <w:r>
        <w:t>S-3741.1</w:t>
      </w:r>
    </w:p>
    <w:p>
      <w:pPr>
        <w:jc w:val="center"/>
      </w:pPr>
      <w:r>
        <w:t>_______________________________________________</w:t>
      </w:r>
    </w:p>
    <w:p/>
    <w:p>
      <w:pPr>
        <w:jc w:val="center"/>
      </w:pPr>
      <w:r>
        <w:rPr>
          <w:b/>
        </w:rPr>
        <w:t>SENATE BILL 6357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O'Ban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waivers of required ballot box placements; and amending RCW 29A.40.160.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2017 c 327 s 1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The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(7)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(8)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(9)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(10)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(11)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(12)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(13)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(14)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(15)</w:t>
      </w:r>
      <w:r>
        <w:rPr>
          <w:u w:val="single"/>
        </w:rPr>
        <w:t xml:space="preserve">(a)</w:t>
      </w:r>
      <w:r>
        <w:rPr/>
        <w:t xml:space="preserve">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 except that the county auditor must establish a minimum of one ballot drop box per fifteen thousand registered voters in the county and a minimum of one ballot drop box in each city, town, and census-designated place in the county with a post office.</w:t>
      </w:r>
    </w:p>
    <w:p>
      <w:pPr>
        <w:spacing w:before="0" w:after="0" w:line="408" w:lineRule="exact"/>
        <w:ind w:left="0" w:right="0" w:firstLine="576"/>
        <w:jc w:val="left"/>
      </w:pPr>
      <w:r>
        <w:rPr>
          <w:u w:val="single"/>
        </w:rPr>
        <w:t xml:space="preserve">(b)(i) The county auditor may seek a waiver from the ballot box siting requirements of (a) of this subsection. The waiver request must be submitted in any form and manner as the secretary of state may establish by rule. The secretary of state may request any information regarding the request that may be helpful in determining whether to approve a waiver. The secretary of state must approve or disapprove the request within sixty days of receiving a request.</w:t>
      </w:r>
    </w:p>
    <w:p>
      <w:pPr>
        <w:spacing w:before="0" w:after="0" w:line="408" w:lineRule="exact"/>
        <w:ind w:left="0" w:right="0" w:firstLine="576"/>
        <w:jc w:val="left"/>
      </w:pPr>
      <w:r>
        <w:rPr>
          <w:u w:val="single"/>
        </w:rPr>
        <w:t xml:space="preserve">(ii) The secretary of state may approve a waiver if:</w:t>
      </w:r>
    </w:p>
    <w:p>
      <w:pPr>
        <w:spacing w:before="0" w:after="0" w:line="408" w:lineRule="exact"/>
        <w:ind w:left="0" w:right="0" w:firstLine="576"/>
        <w:jc w:val="left"/>
      </w:pPr>
      <w:r>
        <w:rPr>
          <w:u w:val="single"/>
        </w:rPr>
        <w:t xml:space="preserve">(A) The required location for any ballot box is in close proximity to an existing ballot box or other required ballot box location; and</w:t>
      </w:r>
    </w:p>
    <w:p>
      <w:pPr>
        <w:spacing w:before="0" w:after="0" w:line="408" w:lineRule="exact"/>
        <w:ind w:left="0" w:right="0" w:firstLine="576"/>
        <w:jc w:val="left"/>
      </w:pPr>
      <w:r>
        <w:rPr>
          <w:u w:val="single"/>
        </w:rPr>
        <w:t xml:space="preserve">(B) The siting of the ballot box at the required location would not likely increase voter access to election locations.</w:t>
      </w:r>
    </w:p>
    <w:p>
      <w:pPr>
        <w:spacing w:before="0" w:after="0" w:line="408" w:lineRule="exact"/>
        <w:ind w:left="0" w:right="0" w:firstLine="576"/>
        <w:jc w:val="left"/>
      </w:pPr>
      <w:r>
        <w:rPr>
          <w:u w:val="single"/>
        </w:rPr>
        <w:t xml:space="preserve">(iii) The secretary of state may not issue a waiver that would result in fewer than one ballot drop box per fifteen thousand registered voters in any county.</w:t>
      </w:r>
    </w:p>
    <w:p/>
    <w:p>
      <w:pPr>
        <w:jc w:val="center"/>
      </w:pPr>
      <w:r>
        <w:rPr>
          <w:b/>
        </w:rPr>
        <w:t>--- END ---</w:t>
      </w:r>
    </w:p>
    <w:sectPr>
      <w:pgNumType w:start="1"/>
      <w:footerReference xmlns:r="http://schemas.openxmlformats.org/officeDocument/2006/relationships" r:id="Rce47fc24341848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cc77edb3b2423c" /><Relationship Type="http://schemas.openxmlformats.org/officeDocument/2006/relationships/footer" Target="/word/footer.xml" Id="Rce47fc2434184859" /></Relationships>
</file>