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9bf5fadfb4395" /></Relationships>
</file>

<file path=word/document.xml><?xml version="1.0" encoding="utf-8"?>
<w:document xmlns:w="http://schemas.openxmlformats.org/wordprocessingml/2006/main">
  <w:body>
    <w:p>
      <w:r>
        <w:t>S-4287.3</w:t>
      </w:r>
    </w:p>
    <w:p>
      <w:pPr>
        <w:jc w:val="center"/>
      </w:pPr>
      <w:r>
        <w:t>_______________________________________________</w:t>
      </w:r>
    </w:p>
    <w:p/>
    <w:p>
      <w:pPr>
        <w:jc w:val="center"/>
      </w:pPr>
      <w:r>
        <w:rPr>
          <w:b/>
        </w:rPr>
        <w:t>SUBSTITUTE SENATE BILL 6362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Wellman, Rolfes, and Billig; by request of Superintendent of Public Instruction)</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28A.150.260, 28A.150.276, 28A.150.415, 28A.165.055, 28A.320.330, 28A.400.205, 28A.710.280, 28A.715.040, 41.56.800, 41.59.800, 28A.400.006, 84.52.053, 28A.505.240, 28A.400.200, and 28A.150.390; adding a new section to chapter 28A.150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For the 2018–19 and 2019-20 school years,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subsection, the local levy is limited to the lesser of the voter-approved levy as of January 1, 2017, or the maximum levy allowed under the law as of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w:t>
      </w:r>
      <w:r>
        <w:t>((</w:t>
      </w:r>
      <w:r>
        <w:rPr>
          <w:strike/>
        </w:rPr>
        <w:t xml:space="preserve">in state funding allocations</w:t>
      </w:r>
      <w:r>
        <w:t>))</w:t>
      </w:r>
      <w:r>
        <w:rPr/>
        <w:t xml:space="preserve">, the superintendent of public instruction must report state per-pupil </w:t>
      </w:r>
      <w:r>
        <w:t>((</w:t>
      </w:r>
      <w:r>
        <w:rPr>
          <w:strike/>
        </w:rPr>
        <w:t xml:space="preserve">allocations</w:t>
      </w:r>
      <w:r>
        <w:t>))</w:t>
      </w:r>
      <w:r>
        <w:rPr/>
        <w:t xml:space="preserve"> </w:t>
      </w:r>
      <w:r>
        <w:rPr>
          <w:u w:val="single"/>
        </w:rPr>
        <w:t xml:space="preserve">expenditures</w:t>
      </w:r>
      <w:r>
        <w:rPr/>
        <w:t xml:space="preserve"> for each school district for the general apportionment, special education, learning assistance, transitional bilingual, highly capable, and career and technical education programs. The superintendent must also report state general apportionment </w:t>
      </w:r>
      <w:r>
        <w:t>((</w:t>
      </w:r>
      <w:r>
        <w:rPr>
          <w:strike/>
        </w:rPr>
        <w:t xml:space="preserve">per-pupil allocations by grade</w:t>
      </w:r>
      <w:r>
        <w:t>))</w:t>
      </w:r>
      <w:r>
        <w:rPr/>
        <w:t xml:space="preserve"> </w:t>
      </w:r>
      <w:r>
        <w:rPr>
          <w:u w:val="single"/>
        </w:rPr>
        <w:t xml:space="preserve">expenditures</w:t>
      </w:r>
      <w:r>
        <w:rPr/>
        <w:t xml:space="preserve"> for each school </w:t>
      </w:r>
      <w:r>
        <w:t>((</w:t>
      </w:r>
      <w:r>
        <w:rPr>
          <w:strike/>
        </w:rPr>
        <w:t xml:space="preserve">district</w:t>
      </w:r>
      <w:r>
        <w:t>))</w:t>
      </w:r>
      <w:r>
        <w:rPr/>
        <w:t xml:space="preserve">. The superintendent must report this information in a user-friendly format on the main page of the office's web site and on school district apportionment reports. School districts must include a link to the superintendent's per-pupil </w:t>
      </w:r>
      <w:r>
        <w:t>((</w:t>
      </w:r>
      <w:r>
        <w:rPr>
          <w:strike/>
        </w:rPr>
        <w:t xml:space="preserve">allocations</w:t>
      </w:r>
      <w:r>
        <w:t>))</w:t>
      </w:r>
      <w:r>
        <w:rPr/>
        <w:t xml:space="preserve"> </w:t>
      </w:r>
      <w:r>
        <w:rPr>
          <w:u w:val="single"/>
        </w:rPr>
        <w:t xml:space="preserve">expenditures</w:t>
      </w:r>
      <w:r>
        <w:rPr/>
        <w:t xml:space="preserve"> report on the main page of the school district's web site. </w:t>
      </w:r>
      <w:r>
        <w:t>((</w:t>
      </w:r>
      <w:r>
        <w:rPr>
          <w:strike/>
        </w:rPr>
        <w:t xml:space="preserve">In addition, the budget documents published by the legislature for the enacted omnibus operating appropriations act must report statewide average per-pupil allocations for general apportionment and the categorical programs listed in this subsection.</w:t>
      </w:r>
      <w:r>
        <w:t>))</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w:t>
      </w:r>
      <w:r>
        <w:t>((</w:t>
      </w:r>
      <w:r>
        <w:rPr>
          <w:strike/>
        </w:rPr>
        <w:t xml:space="preserve">September 1, 2018</w:t>
      </w:r>
      <w:r>
        <w:t>))</w:t>
      </w:r>
      <w:r>
        <w:rPr/>
        <w:t xml:space="preserve"> </w:t>
      </w:r>
      <w:r>
        <w:rPr>
          <w:u w:val="single"/>
        </w:rPr>
        <w:t xml:space="preserve">with the 2019-20 school year</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 A school may continue to receive funding for one year after it no longer meets the definition of qualifying school</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w:t>
      </w:r>
      <w:r>
        <w:rPr>
          <w:u w:val="single"/>
        </w:rPr>
        <w:t xml:space="preserve">For the 2017-18 and 2018-19 school years, a school district may carry over from one year to the next up to twenty percent of the funds allocated per program under the provisions of subsection (10) of this section. Carryover moneys must be expended solely for the allowable program costs per program as established in subsection (10) of this section.</w:t>
      </w:r>
    </w:p>
    <w:p>
      <w:pPr>
        <w:spacing w:before="0" w:after="0" w:line="408" w:lineRule="exact"/>
        <w:ind w:left="0" w:right="0" w:firstLine="576"/>
        <w:jc w:val="left"/>
      </w:pPr>
      <w:r>
        <w:rPr>
          <w:u w:val="single"/>
        </w:rPr>
        <w:t xml:space="preserve">(12)</w:t>
      </w:r>
      <w:r>
        <w:rPr/>
        <w:t xml:space="preserve">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district's local revenues </w:t>
      </w:r>
      <w:r>
        <w:t>((</w:t>
      </w:r>
      <w:r>
        <w:rPr>
          <w:strike/>
        </w:rPr>
        <w:t xml:space="preserve">to its other revenues</w:t>
      </w:r>
      <w:r>
        <w:t>))</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calculation for the professional development allocation is as follows:</w:t>
      </w:r>
    </w:p>
    <w:p>
      <w:pPr>
        <w:spacing w:before="0" w:after="0" w:line="408" w:lineRule="exact"/>
        <w:ind w:left="0" w:right="0" w:firstLine="576"/>
        <w:jc w:val="left"/>
      </w:pPr>
      <w:r>
        <w:rPr>
          <w:u w:val="single"/>
        </w:rPr>
        <w:t xml:space="preserve">(a) Multiply the number of state allocated certificated instructional staff units by the statewide average salary allocation and the regionalization factor;</w:t>
      </w:r>
    </w:p>
    <w:p>
      <w:pPr>
        <w:spacing w:before="0" w:after="0" w:line="408" w:lineRule="exact"/>
        <w:ind w:left="0" w:right="0" w:firstLine="576"/>
        <w:jc w:val="left"/>
      </w:pPr>
      <w:r>
        <w:rPr>
          <w:u w:val="single"/>
        </w:rPr>
        <w:t xml:space="preserve">(b) Divide the result of (a) of this subsection by one hundred eighty to derive a daily rate; and</w:t>
      </w:r>
    </w:p>
    <w:p>
      <w:pPr>
        <w:spacing w:before="0" w:after="0" w:line="408" w:lineRule="exact"/>
        <w:ind w:left="0" w:right="0" w:firstLine="576"/>
        <w:jc w:val="left"/>
      </w:pPr>
      <w:r>
        <w:rPr>
          <w:u w:val="single"/>
        </w:rPr>
        <w:t xml:space="preserve">(c) Multiply the daily rate resulting from (b) of this subsection by the number of professional development days described in subsection (1) of this section.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 Nothing in this section requires a school district to provide professional learning days in excess of the days that are funded by this allotment.</w:t>
      </w:r>
    </w:p>
    <w:p>
      <w:pPr>
        <w:spacing w:before="0" w:after="0" w:line="408" w:lineRule="exact"/>
        <w:ind w:left="0" w:right="0" w:firstLine="576"/>
        <w:jc w:val="left"/>
      </w:pP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0" w:after="0" w:line="408" w:lineRule="exact"/>
        <w:ind w:left="0" w:right="0" w:firstLine="576"/>
        <w:jc w:val="left"/>
      </w:pPr>
      <w:r>
        <w:rPr>
          <w:u w:val="single"/>
        </w:rPr>
        <w:t xml:space="preserve">(3) A school may continue to receive funding for one year after it no longer meets the definition of qualifying school.</w:t>
      </w:r>
    </w:p>
    <w:p>
      <w:pPr>
        <w:spacing w:before="0" w:after="0" w:line="408" w:lineRule="exact"/>
        <w:ind w:left="0" w:right="0" w:firstLine="576"/>
        <w:jc w:val="left"/>
      </w:pPr>
      <w:r>
        <w:rPr>
          <w:u w:val="single"/>
        </w:rPr>
        <w:t xml:space="preserve">(4) For the purposes of this section, "qualifying school" means a school in which the three-year rolling average of the prior year total annual average enrollment that qualifies for free or reduced-price meals equals or exceeds fifty percent or more of its total annual average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w:t>
      </w:r>
      <w:r>
        <w:t>((</w:t>
      </w:r>
      <w:r>
        <w:rPr>
          <w:strike/>
        </w:rPr>
        <w:t xml:space="preserve">and transportation vehicle enrichment levies</w:t>
      </w:r>
      <w:r>
        <w:t>))</w:t>
      </w:r>
      <w:r>
        <w:rPr/>
        <w:t xml:space="preserve">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2020-21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w:t>
      </w:r>
      <w:r>
        <w:t>((</w:t>
      </w:r>
      <w:r>
        <w:rPr>
          <w:strike/>
        </w:rPr>
        <w:t xml:space="preserve">implicit price deflator for that fiscal year, using the official current base, compiled by the bureau of labor statistics, United States department of labor for the state of Washington</w:t>
      </w:r>
      <w:r>
        <w:t>))</w:t>
      </w:r>
      <w:r>
        <w:rPr/>
        <w:t xml:space="preserve"> </w:t>
      </w:r>
      <w:r>
        <w:rPr>
          <w:u w:val="single"/>
        </w:rPr>
        <w:t xml:space="preserve">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 for the inflationary adjustment index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including any enrichment to those statutory formulae that is specified in the omnibus appropriations act</w:t>
      </w:r>
      <w:r>
        <w:rPr>
          <w:u w:val="single"/>
        </w:rPr>
        <w:t xml:space="preserve">, except that the average salaries shall not be adjusted by a regionalization factor</w:t>
      </w:r>
      <w:r>
        <w:rPr/>
        <w:t xml:space="preserve">.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except that the average salaries shall not be adjusted by a regionalization factor</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except that the average salaries shall not be adjusted by a regionalization factor</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classified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that is executed or modified after July 6, 2017, and that is in effect for the 2018-19 school year may not </w:t>
      </w:r>
      <w:r>
        <w:t>((</w:t>
      </w:r>
      <w:r>
        <w:rPr>
          <w:strike/>
        </w:rPr>
        <w:t xml:space="preserve">provide</w:t>
      </w:r>
      <w:r>
        <w:t>))</w:t>
      </w:r>
      <w:r>
        <w:rPr/>
        <w:t xml:space="preserve"> </w:t>
      </w:r>
      <w:r>
        <w:rPr>
          <w:u w:val="single"/>
        </w:rPr>
        <w:t xml:space="preserve">increase total</w:t>
      </w:r>
      <w:r>
        <w:rPr/>
        <w:t xml:space="preserve"> school district </w:t>
      </w:r>
      <w:r>
        <w:rPr>
          <w:u w:val="single"/>
        </w:rPr>
        <w:t xml:space="preserve">expenditures for</w:t>
      </w:r>
      <w:r>
        <w:rPr/>
        <w:t xml:space="preserve"> certificated instructional staff </w:t>
      </w:r>
      <w:r>
        <w:t>((</w:t>
      </w:r>
      <w:r>
        <w:rPr>
          <w:strike/>
        </w:rPr>
        <w:t xml:space="preserve">with a percentage increase to total salary</w:t>
      </w:r>
      <w:r>
        <w:t>))</w:t>
      </w:r>
      <w:r>
        <w:rPr/>
        <w:t xml:space="preserve"> </w:t>
      </w:r>
      <w:r>
        <w:rPr>
          <w:u w:val="single"/>
        </w:rPr>
        <w:t xml:space="preserve">salaries</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w:t>
      </w:r>
      <w:r>
        <w:t>))</w:t>
      </w:r>
      <w:r>
        <w:rPr/>
        <w:t xml:space="preserve"> </w:t>
      </w:r>
      <w:r>
        <w:rPr>
          <w:u w:val="single"/>
        </w:rPr>
        <w:t xml:space="preserve">by more than</w:t>
      </w:r>
      <w:r>
        <w:rPr/>
        <w:t xml:space="preserve">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w:t>
      </w:r>
      <w:r>
        <w:rPr>
          <w:u w:val="single"/>
        </w:rPr>
        <w:t xml:space="preserve">Nothing in this section prohibits individuals from receiving additional compensation for service including, but not limited to, additional days or hours of service, additional responsibilities, step increases, and expansions of academic programs that require additional personnel or increased service provided by current personnel.</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through calendar year 2019, authorizing two-year levies for transportation vehicle </w:t>
      </w:r>
      <w:r>
        <w:t>((</w:t>
      </w:r>
      <w:r>
        <w:rPr>
          <w:strike/>
        </w:rPr>
        <w:t xml:space="preserve">enrichment</w:t>
      </w:r>
      <w:r>
        <w:t>))</w:t>
      </w:r>
      <w:r>
        <w:rPr/>
        <w:t xml:space="preserve"> </w:t>
      </w:r>
      <w:r>
        <w:rPr>
          <w:u w:val="single"/>
        </w:rPr>
        <w:t xml:space="preserve">levies</w:t>
      </w:r>
      <w:r>
        <w:rPr/>
        <w:t xml:space="preserve"> beginning with calendar year 2020,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2019,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modifications to the local levy and local effort assistance policies adopted as part of Engrossed House Bill No. 2242 (chapter 13, Laws of 2017 3rd sp. sess.) in 2017 are necessary in order to ensure that those policies do not negatively impact our schools and our students. It is the intent of the legislature to take action to reform those policies in the 2018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2019-20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w:t>
      </w:r>
      <w:r>
        <w:rPr>
          <w:u w:val="single"/>
        </w:rPr>
        <w:t xml:space="preserve">time-based</w:t>
      </w:r>
      <w:r>
        <w:rPr/>
        <w:t xml:space="preserve"> supplemental contract may not exceed the hourly rate provided to that same instructional staff for services under the basic education salary identified pursuant to subsection (3)(a)(iii) of this section. </w:t>
      </w:r>
      <w:r>
        <w:rPr>
          <w:u w:val="single"/>
        </w:rPr>
        <w:t xml:space="preserve">Nothing in this section prohibits school districts from providing overtime payments for time worked outside the employee's normal schedule.</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
      <w:pPr>
        <w:jc w:val="center"/>
      </w:pPr>
      <w:r>
        <w:rPr>
          <w:b/>
        </w:rPr>
        <w:t>--- END ---</w:t>
      </w:r>
    </w:p>
    <w:sectPr>
      <w:pgNumType w:start="1"/>
      <w:footerReference xmlns:r="http://schemas.openxmlformats.org/officeDocument/2006/relationships" r:id="R7a3b221c6a6c44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82d12943a4c69" /><Relationship Type="http://schemas.openxmlformats.org/officeDocument/2006/relationships/footer" Target="/word/footer.xml" Id="R7a3b221c6a6c44c2" /></Relationships>
</file>