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bbcafa608d4894" /></Relationships>
</file>

<file path=word/document.xml><?xml version="1.0" encoding="utf-8"?>
<w:document xmlns:w="http://schemas.openxmlformats.org/wordprocessingml/2006/main">
  <w:body>
    <w:p>
      <w:r>
        <w:t>S-4059.1</w:t>
      </w:r>
    </w:p>
    <w:p>
      <w:pPr>
        <w:jc w:val="center"/>
      </w:pPr>
      <w:r>
        <w:t>_______________________________________________</w:t>
      </w:r>
    </w:p>
    <w:p/>
    <w:p>
      <w:pPr>
        <w:jc w:val="center"/>
      </w:pPr>
      <w:r>
        <w:rPr>
          <w:b/>
        </w:rPr>
        <w:t>SENATE BILL 6501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Baumgartner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athletic and fitness facilities from sales and use taxes; amending RCW 82.04.050;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obesity and diabetes are serious public health concerns. The legislature further finds that healthy lifestyle habits, such as healthy eating and physical activity, can lower the risk of becoming obese and developing diabetes and other related diseases. Therefore, it is the intent of the legislature to promote the accessibility of athletic and fitness centers by making those facilities exempt from the payment of sales and use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 for athletic or fitness facilities provided in section 3, chapter . . ., Laws of 2018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authorize a sales and use tax exemption for athletic or fitness facilities to promote the accessibility of these types of facilities.</w:t>
      </w:r>
    </w:p>
    <w:p>
      <w:pPr>
        <w:spacing w:before="0" w:after="0" w:line="408" w:lineRule="exact"/>
        <w:ind w:left="0" w:right="0" w:firstLine="576"/>
        <w:jc w:val="left"/>
      </w:pPr>
      <w:r>
        <w:rPr/>
        <w:t xml:space="preserve">(4) If a review finds that there is an increase, as a result of the creation of the tax preference in this act, in retail sales of personal services that operate an athletic or fitness facility, as described in RCW 82.04.050(3)(g) as it existed on January 1, 2018,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 </w:t>
      </w:r>
      <w:r>
        <w:rPr>
          <w:u w:val="single"/>
        </w:rPr>
        <w:t xml:space="preserve">and</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w:t>
      </w:r>
      <w:r>
        <w:t>((</w:t>
      </w:r>
      <w:r>
        <w:rPr>
          <w:strike/>
        </w:rPr>
        <w:t xml:space="preserve">; and</w:t>
      </w:r>
    </w:p>
    <w:p>
      <w:pPr>
        <w:spacing w:before="0" w:after="0" w:line="408" w:lineRule="exact"/>
        <w:ind w:left="0" w:right="0" w:firstLine="576"/>
        <w:jc w:val="left"/>
      </w:pPr>
      <w:r>
        <w:rPr>
          <w:strike/>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strike/>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strike/>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strike/>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strike/>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strike/>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strike/>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strike/>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strike/>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strike/>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strike/>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strike/>
        </w:rPr>
        <w:t xml:space="preserve">(iv) For the purposes of this subsection (3)(g), the following definitions apply:</w:t>
      </w:r>
    </w:p>
    <w:p>
      <w:pPr>
        <w:spacing w:before="0" w:after="0" w:line="408" w:lineRule="exact"/>
        <w:ind w:left="0" w:right="0" w:firstLine="576"/>
        <w:jc w:val="left"/>
      </w:pPr>
      <w:r>
        <w:rPr>
          <w:strike/>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strike/>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strike/>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r>
        <w:t>))</w:t>
      </w:r>
      <w:r>
        <w:rPr/>
        <w:t xml:space="preserve">.</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NumType w:start="1"/>
      <w:footerReference xmlns:r="http://schemas.openxmlformats.org/officeDocument/2006/relationships" r:id="R076a4678bc9344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dbb19e756240f5" /><Relationship Type="http://schemas.openxmlformats.org/officeDocument/2006/relationships/footer" Target="/word/footer.xml" Id="R076a4678bc934416" /></Relationships>
</file>