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401d8f402240a4" /></Relationships>
</file>

<file path=word/document.xml><?xml version="1.0" encoding="utf-8"?>
<w:document xmlns:w="http://schemas.openxmlformats.org/wordprocessingml/2006/main">
  <w:body>
    <w:p>
      <w:r>
        <w:t>S-4141.1</w:t>
      </w:r>
    </w:p>
    <w:p>
      <w:pPr>
        <w:jc w:val="center"/>
      </w:pPr>
      <w:r>
        <w:t>_______________________________________________</w:t>
      </w:r>
    </w:p>
    <w:p/>
    <w:p>
      <w:pPr>
        <w:jc w:val="center"/>
      </w:pPr>
      <w:r>
        <w:rPr>
          <w:b/>
        </w:rPr>
        <w:t>SENATE BILL 6537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Short, and Wilson</w:t>
      </w:r>
    </w:p>
    <w:p/>
    <w:p>
      <w:r>
        <w:rPr>
          <w:t xml:space="preserve">Read first time 01/23/18.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forestlands; amending RCW 28A.150.250 and 28A.520.020;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in counties with federal forests are at a disadvantage in terms of generating local revenue due to economic and private development opportunities that are forgone on these lands. The legislature intends to no longer reduce state basic education funding to school districts in counties with federal forest lands. The money school districts receive as a result of federal forest revenue payments should be considered as grants, or compensation, to inhabitants of local areas for impacts associated with the presence of federal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w:t>
      </w:r>
      <w:r>
        <w:t>))</w:t>
      </w:r>
      <w:r>
        <w:rPr/>
        <w:t xml:space="preserve"> </w:t>
      </w:r>
      <w:r>
        <w:rPr>
          <w:u w:val="single"/>
        </w:rPr>
        <w:t xml:space="preserve">T</w:t>
      </w:r>
      <w:r>
        <w:rPr/>
        <w:t xml:space="preserve">he amount received by any public school district pursuant to subsection (2) of this section </w:t>
      </w:r>
      <w:r>
        <w:t>((</w:t>
      </w:r>
      <w:r>
        <w:rPr>
          <w:strike/>
        </w:rPr>
        <w:t xml:space="preserve">is less than</w:t>
      </w:r>
      <w:r>
        <w:t>))</w:t>
      </w:r>
      <w:r>
        <w:rPr/>
        <w:t xml:space="preserve"> </w:t>
      </w:r>
      <w:r>
        <w:rPr>
          <w:u w:val="single"/>
        </w:rPr>
        <w:t xml:space="preserve">must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8892b9b003de41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5a7adb7efe44ef" /><Relationship Type="http://schemas.openxmlformats.org/officeDocument/2006/relationships/footer" Target="/word/footer.xml" Id="R8892b9b003de4154" /></Relationships>
</file>