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933e43daaa40e7" /></Relationships>
</file>

<file path=word/document.xml><?xml version="1.0" encoding="utf-8"?>
<w:document xmlns:w="http://schemas.openxmlformats.org/wordprocessingml/2006/main">
  <w:body>
    <w:p>
      <w:r>
        <w:t>S-3752.6</w:t>
      </w:r>
    </w:p>
    <w:p>
      <w:pPr>
        <w:jc w:val="center"/>
      </w:pPr>
      <w:r>
        <w:t>_______________________________________________</w:t>
      </w:r>
    </w:p>
    <w:p/>
    <w:p>
      <w:pPr>
        <w:jc w:val="center"/>
      </w:pPr>
      <w:r>
        <w:rPr>
          <w:b/>
        </w:rPr>
        <w:t>SENATE BILL 6542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Baumgartner, Hobbs, Mullet, Fain, Short, and Wilson</w:t>
      </w:r>
    </w:p>
    <w:p/>
    <w:p>
      <w:r>
        <w:rPr>
          <w:t xml:space="preserve">Read first time 01/23/18.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the ceiling of the business and occupation manufacturing tax rate to 0.2904 percent; amending RCW 82.04.240, 82.04.240, 82.04.280, and 82.32.790;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The change in tax base created by this act is intended to be permanent.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and retain jobs, improve industry competitiveness, and reduce structural inefficiencies, as indicated in RCW 82.32.808(2) (b) through (d).</w:t>
      </w:r>
    </w:p>
    <w:p>
      <w:pPr>
        <w:spacing w:before="0" w:after="0" w:line="408" w:lineRule="exact"/>
        <w:ind w:left="0" w:right="0" w:firstLine="576"/>
        <w:jc w:val="left"/>
      </w:pPr>
      <w:r>
        <w:rPr/>
        <w:t xml:space="preserve">(3) The legislature finds that manufacturing is a vital part of Washington's economy, providing family-wage jobs throughout the state, accompanied by a multiplier effect that often makes these employers hubs of their local communities. The legislature also finds that manufacturing jobs in Washington have been in decline, losing over fifty thousand jobs since the turn of the century. Over forty-five thousand jobs of the net jobs lost have occurred in nonaerospace manufacturing, which is generally subject to a tax rate forty percent higher than the aerospace industry in Washington. Therefore, it is the legislature's specific public policy to enhance taxpayer equity by lowering the business and occupation rate ceiling to 0.2904 for all manufacturers in the state in order to increase the sustainability of manufacturing in Washington as well as increase manufacturing's competitiveness around the world, thereby enabling manufacturing to continue to be a critical and hopefully growing source of family-wage jobs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u w:val="single"/>
        </w:rPr>
        <w:t xml:space="preserve">(1)</w:t>
      </w:r>
      <w:r>
        <w:rPr/>
        <w:t xml:space="preserve"> Upon every person engaging within this state in business as a manufacturer, except persons taxable as manufacturers under other provisions of this chapter; as to such persons the amount of the tax with respect to such business shall be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percent from January 1, 2022, and thereafter</w:t>
      </w:r>
      <w:r>
        <w:rPr/>
        <w:t xml:space="preserve">.</w:t>
      </w:r>
    </w:p>
    <w:p>
      <w:pPr>
        <w:spacing w:before="0" w:after="0" w:line="408" w:lineRule="exact"/>
        <w:ind w:left="0" w:right="0" w:firstLine="576"/>
        <w:jc w:val="left"/>
      </w:pPr>
      <w:r>
        <w:rPr>
          <w:u w:val="single"/>
        </w:rPr>
        <w:t xml:space="preserve">(2)</w:t>
      </w:r>
      <w:r>
        <w:rPr/>
        <w:t xml:space="preserve">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percent from January 1, 2022, and thereafter</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w:t>
      </w:r>
      <w:r>
        <w:rPr>
          <w:u w:val="single"/>
        </w:rPr>
        <w:t xml:space="preserve">Upon every person engaging within this state in the business of processing for hire, except persons taxable as processors for hire under another section of this chapter; as to such persons, the amount of tax on such business is equal to the gross income of the business multiplied by the rate of:</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percent from January 1, 2022, and thereafter</w:t>
      </w:r>
      <w:r>
        <w:rPr>
          <w:u w:val="single"/>
        </w:rPr>
        <w:t xml:space="preserve">.</w:t>
      </w:r>
    </w:p>
    <w:p>
      <w:pPr>
        <w:spacing w:before="0" w:after="0" w:line="408" w:lineRule="exact"/>
        <w:ind w:left="0" w:right="0" w:firstLine="576"/>
        <w:jc w:val="left"/>
      </w:pPr>
      <w:r>
        <w:rPr>
          <w:u w:val="single"/>
        </w:rPr>
        <w:t xml:space="preserve">(3)</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3, chapter . . ., Laws of 2018 (section 3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automatic expiration date provisions of RCW 82.32.805(1)(a).</w:t>
      </w:r>
    </w:p>
    <w:p/>
    <w:p>
      <w:pPr>
        <w:jc w:val="center"/>
      </w:pPr>
      <w:r>
        <w:rPr>
          <w:b/>
        </w:rPr>
        <w:t>--- END ---</w:t>
      </w:r>
    </w:p>
    <w:sectPr>
      <w:pgNumType w:start="1"/>
      <w:footerReference xmlns:r="http://schemas.openxmlformats.org/officeDocument/2006/relationships" r:id="Re6a0492d106745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238effadd46c8" /><Relationship Type="http://schemas.openxmlformats.org/officeDocument/2006/relationships/footer" Target="/word/footer.xml" Id="Re6a0492d106745d8" /></Relationships>
</file>