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081acc14a4c34" /></Relationships>
</file>

<file path=word/document.xml><?xml version="1.0" encoding="utf-8"?>
<w:document xmlns:w="http://schemas.openxmlformats.org/wordprocessingml/2006/main">
  <w:body>
    <w:p>
      <w:r>
        <w:t>S-3704.2</w:t>
      </w:r>
    </w:p>
    <w:p>
      <w:pPr>
        <w:jc w:val="center"/>
      </w:pPr>
      <w:r>
        <w:t>_______________________________________________</w:t>
      </w:r>
    </w:p>
    <w:p/>
    <w:p>
      <w:pPr>
        <w:jc w:val="center"/>
      </w:pPr>
      <w:r>
        <w:rPr>
          <w:b/>
        </w:rPr>
        <w:t>SENATE BILL 6543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Fain, O'Ban, Schoesler, Short, and Wilson</w:t>
      </w:r>
    </w:p>
    <w:p/>
    <w:p>
      <w:r>
        <w:rPr>
          <w:t xml:space="preserve">Read first time 01/23/18.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community and technical college tuition; and amending RCW 28B.15.067 and 28B.15.066.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w:t>
      </w:r>
      <w:r>
        <w:rPr>
          <w:u w:val="single"/>
        </w:rPr>
        <w:t xml:space="preserve">In the 2018-19 academic year, tuition operating fees for resident undergraduates at community and technical colleges, excluding applied baccalaureate degrees as defined in RCW 28B.50.030, shall be ten percent less than the 2017-18 academic year tuition operating fees.</w:t>
      </w:r>
    </w:p>
    <w:p>
      <w:pPr>
        <w:spacing w:before="0" w:after="0" w:line="408" w:lineRule="exact"/>
        <w:ind w:left="0" w:right="0" w:firstLine="576"/>
        <w:jc w:val="left"/>
      </w:pPr>
      <w:r>
        <w:rPr>
          <w:u w:val="single"/>
        </w:rPr>
        <w:t xml:space="preserve">(c)</w:t>
      </w:r>
      <w:r>
        <w:rPr/>
        <w:t xml:space="preserve"> Beginning in the </w:t>
      </w:r>
      <w:r>
        <w:t>((</w:t>
      </w:r>
      <w:r>
        <w:rPr>
          <w:strike/>
        </w:rPr>
        <w:t xml:space="preserve">2017-18</w:t>
      </w:r>
      <w:r>
        <w:t>))</w:t>
      </w:r>
      <w:r>
        <w:rPr/>
        <w:t xml:space="preserve"> </w:t>
      </w:r>
      <w:r>
        <w:rPr>
          <w:u w:val="single"/>
        </w:rPr>
        <w:t xml:space="preserve">2019-20</w:t>
      </w:r>
      <w:r>
        <w:rP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2015 3rd sp.s. c 36 s 2 are each amended to read as follows:</w:t>
      </w:r>
    </w:p>
    <w:p>
      <w:pPr>
        <w:spacing w:before="0" w:after="0" w:line="408" w:lineRule="exact"/>
        <w:ind w:left="0" w:right="0" w:firstLine="576"/>
        <w:jc w:val="left"/>
      </w:pPr>
      <w:r>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The net revenue loss shall be adjusted for inflation in subsequent biennia.</w:t>
      </w:r>
    </w:p>
    <w:p>
      <w:pPr>
        <w:spacing w:before="0" w:after="0" w:line="408" w:lineRule="exact"/>
        <w:ind w:left="0" w:right="0" w:firstLine="576"/>
        <w:jc w:val="left"/>
      </w:pPr>
      <w:r>
        <w:rPr/>
        <w:t xml:space="preserve">(2) </w:t>
      </w:r>
      <w:r>
        <w:rPr>
          <w:u w:val="single"/>
        </w:rPr>
        <w:t xml:space="preserve">Beginning with the 2018 supplemental omnibus appropriations act, the legislature shall appropriate to the state board for community and technical colleges an amount that is at least equal to the total state funds appropriated in the 2017-2019 omnibus appropriations act and the net revenue loss from resident undergraduate tuition operating fees based on budgeted full-time equivalent enrollment received for the 2017-2019 fiscal biennium under RCW 28B.15.067. The net revenue loss shall be adjusted for inflation in subsequent biennia.</w:t>
      </w:r>
    </w:p>
    <w:p>
      <w:pPr>
        <w:spacing w:before="0" w:after="0" w:line="408" w:lineRule="exact"/>
        <w:ind w:left="0" w:right="0" w:firstLine="576"/>
        <w:jc w:val="left"/>
      </w:pPr>
      <w:r>
        <w:rPr>
          <w:u w:val="single"/>
        </w:rPr>
        <w:t xml:space="preserve">(3)</w:t>
      </w:r>
      <w:r>
        <w:rPr/>
        <w:t xml:space="preserve">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
      <w:pPr>
        <w:jc w:val="center"/>
      </w:pPr>
      <w:r>
        <w:rPr>
          <w:b/>
        </w:rPr>
        <w:t>--- END ---</w:t>
      </w:r>
    </w:p>
    <w:sectPr>
      <w:pgNumType w:start="1"/>
      <w:footerReference xmlns:r="http://schemas.openxmlformats.org/officeDocument/2006/relationships" r:id="Rbc2a7c39327d4f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7fe8f18df545b4" /><Relationship Type="http://schemas.openxmlformats.org/officeDocument/2006/relationships/footer" Target="/word/footer.xml" Id="Rbc2a7c39327d4fa2" /></Relationships>
</file>