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f6e85ecd048cc" /></Relationships>
</file>

<file path=word/document.xml><?xml version="1.0" encoding="utf-8"?>
<w:document xmlns:w="http://schemas.openxmlformats.org/wordprocessingml/2006/main">
  <w:body>
    <w:p>
      <w:r>
        <w:t>S-4078.1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6562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Honeyford, Becker, Bailey, Brown, and Wilson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preserving farm and agricultural land; and adding a new section to chapter 36.70A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36</w:t>
      </w:r>
      <w:r>
        <w:rPr/>
        <w:t xml:space="preserve">.</w:t>
      </w:r>
      <w:r>
        <w:t xml:space="preserve">70A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school may not be sited within one-quarter mile of any property that is farm and agricultural land as defined in RCW 84.34.020.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b0c1306460c424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6562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1d23205ea4e60" /><Relationship Type="http://schemas.openxmlformats.org/officeDocument/2006/relationships/footer" Target="/word/footer.xml" Id="Rcb0c1306460c4240" /></Relationships>
</file>