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e582f3d19747da" /></Relationships>
</file>

<file path=word/document.xml><?xml version="1.0" encoding="utf-8"?>
<w:document xmlns:w="http://schemas.openxmlformats.org/wordprocessingml/2006/main">
  <w:body>
    <w:p>
      <w:r>
        <w:t>S-5349.3</w:t>
      </w:r>
    </w:p>
    <w:p>
      <w:pPr>
        <w:jc w:val="center"/>
      </w:pPr>
      <w:r>
        <w:t>_______________________________________________</w:t>
      </w:r>
    </w:p>
    <w:p/>
    <w:p>
      <w:pPr>
        <w:jc w:val="center"/>
      </w:pPr>
      <w:r>
        <w:rPr>
          <w:b/>
        </w:rPr>
        <w:t>SENATE BILL 6614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Rolfes, Dhingra, and Frockt</w:t>
      </w:r>
    </w:p>
    <w:p/>
    <w:p>
      <w:r>
        <w:rPr>
          <w:t xml:space="preserve">Read first time 02/19/18.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the support of common schools; and amending RCW 84.52.065 and 43.79.496.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two dollars and thirty-nine cents per thousand dollars of assessed value in calendar year 2019 and</w:t>
      </w:r>
      <w:r>
        <w:rPr/>
        <w:t xml:space="preserve"> two dollars and seventy cents per thousand dollars of assessed value </w:t>
      </w:r>
      <w:r>
        <w:rPr>
          <w:u w:val="single"/>
        </w:rPr>
        <w:t xml:space="preserve">in calendar year 2018 and calendar years 2020 and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2017 3rd sp.s. c 29 s 5 are each amended to read as follows:</w:t>
      </w:r>
    </w:p>
    <w:p>
      <w:pPr>
        <w:spacing w:before="0" w:after="0" w:line="408" w:lineRule="exact"/>
        <w:ind w:left="0" w:right="0" w:firstLine="576"/>
        <w:jc w:val="left"/>
      </w:pPr>
      <w:r>
        <w:rPr/>
        <w:t xml:space="preserve">(1) By June 30, 2015, the treasurer </w:t>
      </w:r>
      <w:r>
        <w:t>((</w:t>
      </w:r>
      <w:r>
        <w:rPr>
          <w:strike/>
        </w:rPr>
        <w:t xml:space="preserve">shall</w:t>
      </w:r>
      <w:r>
        <w:t>))</w:t>
      </w:r>
      <w:r>
        <w:rPr/>
        <w:t xml:space="preserve"> </w:t>
      </w:r>
      <w:r>
        <w:rPr>
          <w:u w:val="single"/>
        </w:rPr>
        <w:t xml:space="preserve">must</w:t>
      </w:r>
      <w:r>
        <w:rPr/>
        <w:t xml:space="preserve">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During the 2017-2019 fiscal biennium, the treasurer </w:t>
      </w:r>
      <w:r>
        <w:t>((</w:t>
      </w:r>
      <w:r>
        <w:rPr>
          <w:strike/>
        </w:rPr>
        <w:t xml:space="preserve">shall</w:t>
      </w:r>
      <w:r>
        <w:t>))</w:t>
      </w:r>
      <w:r>
        <w:rPr/>
        <w:t xml:space="preserve"> </w:t>
      </w:r>
      <w:r>
        <w:rPr>
          <w:u w:val="single"/>
        </w:rPr>
        <w:t xml:space="preserve">must</w:t>
      </w:r>
      <w:r>
        <w:rPr/>
        <w:t xml:space="preserve"> transfer into the state general fund the entire budget stabilization account deposit for the 2017-2019 fiscal biennium that is attributable to extraordinary revenue growth, not to exceed one billion seventy-eight million dollars.</w:t>
      </w:r>
    </w:p>
    <w:p>
      <w:pPr>
        <w:spacing w:before="0" w:after="0" w:line="408" w:lineRule="exact"/>
        <w:ind w:left="0" w:right="0" w:firstLine="576"/>
        <w:jc w:val="left"/>
      </w:pPr>
      <w:r>
        <w:rPr/>
        <w:t xml:space="preserve">(3) </w:t>
      </w:r>
      <w:r>
        <w:rPr>
          <w:u w:val="single"/>
        </w:rPr>
        <w:t xml:space="preserve">In addition to the transfer under subsection (2) of this section, the treasurer must transfer into the state general fund from the budget stabilization account the sum of two hundred thirteen million dollars on July 1, 2018, and the sum of one hundred ninety million dollars on July 1, 2019. The moneys transferred into the general fund must be used for the support of common schools.</w:t>
      </w:r>
    </w:p>
    <w:p>
      <w:pPr>
        <w:spacing w:before="0" w:after="0" w:line="408" w:lineRule="exact"/>
        <w:ind w:left="0" w:right="0" w:firstLine="576"/>
        <w:jc w:val="left"/>
      </w:pPr>
      <w:r>
        <w:rPr>
          <w:u w:val="single"/>
        </w:rPr>
        <w:t xml:space="preserve">(4)</w:t>
      </w:r>
      <w:r>
        <w:rPr/>
        <w:t xml:space="preserve"> For purposes of RCW 43.88.055(4), the transfers in this section do not alter the requirement to balance in ensuing biennia.</w:t>
      </w:r>
    </w:p>
    <w:p/>
    <w:p>
      <w:pPr>
        <w:jc w:val="center"/>
      </w:pPr>
      <w:r>
        <w:rPr>
          <w:b/>
        </w:rPr>
        <w:t>--- END ---</w:t>
      </w:r>
    </w:p>
    <w:sectPr>
      <w:pgNumType w:start="1"/>
      <w:footerReference xmlns:r="http://schemas.openxmlformats.org/officeDocument/2006/relationships" r:id="R267284e2a61d49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436ff4bfac4e8e" /><Relationship Type="http://schemas.openxmlformats.org/officeDocument/2006/relationships/footer" Target="/word/footer.xml" Id="R267284e2a61d4908" /></Relationships>
</file>