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01a38913ad48e2" /></Relationships>
</file>

<file path=word/document.xml><?xml version="1.0" encoding="utf-8"?>
<w:document xmlns:w="http://schemas.openxmlformats.org/wordprocessingml/2006/main">
  <w:body>
    <w:p>
      <w:r>
        <w:t>S-3416.1</w:t>
      </w:r>
    </w:p>
    <w:p>
      <w:pPr>
        <w:jc w:val="center"/>
      </w:pPr>
      <w:r>
        <w:t>_______________________________________________</w:t>
      </w:r>
    </w:p>
    <w:p/>
    <w:p>
      <w:pPr>
        <w:jc w:val="center"/>
      </w:pPr>
      <w:r>
        <w:rPr>
          <w:b/>
        </w:rPr>
        <w:t>SENATE JOINT RESOLUTION 8212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Braun, Fain, Becker, Angel, and Rivers</w:t>
      </w:r>
    </w:p>
    <w:p/>
    <w:p>
      <w:r>
        <w:rPr>
          <w:t xml:space="preserve">Read first time 01/10/18.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Notwithstanding any other provision of this Constitution, the following tax exemption is allowed as to real property:</w:t>
      </w:r>
    </w:p>
    <w:p>
      <w:pPr>
        <w:spacing w:before="0" w:after="0" w:line="408" w:lineRule="exact"/>
        <w:ind w:left="0" w:right="0" w:firstLine="576"/>
        <w:jc w:val="left"/>
      </w:pPr>
      <w:r>
        <w:rPr/>
        <w:t xml:space="preserve">(1) The legislature has the power, by appropriate legislation, to provide a homestead exemption from property taxes levied for state purposes on the real property occupied as a principal residence by those owners. The exempt value must be stated in a dollar amount and must be uniform across all real property occupied as a principal residence by the owner. The homestead exemption may not shift property taxes levied for state purposes. The state levy must be reduced as necessary to prevent the value exempted under the homestead exemption from resulting in a higher tax rate than would have occurred in the absence of the homestead exemption.</w:t>
      </w:r>
    </w:p>
    <w:p>
      <w:pPr>
        <w:spacing w:before="0" w:after="0" w:line="408" w:lineRule="exact"/>
        <w:ind w:left="0" w:right="0" w:firstLine="576"/>
        <w:jc w:val="left"/>
      </w:pPr>
      <w:r>
        <w:rPr/>
        <w:t xml:space="preserve">(2) The legislature may place other restrictions and conditions upon granting the homestead exemption as it deems proper.</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0ae1b634c59741c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8d6579cdc4b6a" /><Relationship Type="http://schemas.openxmlformats.org/officeDocument/2006/relationships/footer" Target="/word/footer.xml" Id="R0ae1b634c59741c7" /></Relationships>
</file>