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4b18ed7fd44b6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SENATE BILL 5051</w:t>
      </w:r>
    </w:p>
    <w:p>
      <w:pPr>
        <w:jc w:val="center"/>
        <w:spacing w:before="720" w:after="0" w:line="240"/>
      </w:pPr>
      <w:r>
        <w:t>65th Legislature</w:t>
      </w:r>
    </w:p>
    <w:p>
      <w:pPr>
        <w:jc w:val="center"/>
        <w:spacing w:before="0" w:after="1440" w:line="240"/>
      </w:pPr>
      <w:r>
        <w:t>2017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27,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7,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96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Hunter G. Goodman,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SENATE BILL 5051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5051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2017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Senate Agriculture, Water, Trade &amp; Economic Development (originally sponsored by Senators Brown, Warnick, Honeyford, Becker, and Schoesler)</w:t>
      </w:r>
    </w:p>
    <w:p/>
    <w:p>
      <w:r>
        <w:rPr>
          <w:t xml:space="preserve">READ FIRST TIME 02/10/17.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nondefault or early termination provisions in state land leases for agricultural or grazing purposes; and adding a new section to chapter 79.13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79</w:t>
      </w:r>
      <w:r>
        <w:rPr/>
        <w:t xml:space="preserve">.</w:t>
      </w:r>
      <w:r>
        <w:t xml:space="preserve">13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For the purposes of this section, "nondefault or early termination provision" means a provision that authorizes the department to terminate a lease in the event the department includes the leased land in a plan for higher and better use, land exchange, or sale.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Any nondefault or early termination provision included in a state land lease for agricultural or grazing purposes must: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Require advance written notice of at least one hundred eighty days by the department to the lessee prior to termination of the lease;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Require the department to provide to the lessee, along with the notice under (a) of this subsection, written documentation demonstrating that the department has included the leased land in a plan for higher and better use, land exchange, or sale.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does not require the department to include a nondefault or early termination provision in any state land lease for agricultural or grazing purposes.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This section does not prohibit the department from allowing the lessee to surrender the leasehold subject to terms provided in the lease.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This section does not prohibit the department from executing other lease provisions designed to protect the interests of the lessee in the event that the lease is terminated under a nondefault or early termination provision.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f848623b80b4f7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5051.PL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14fc9a0dd4648" /><Relationship Type="http://schemas.openxmlformats.org/officeDocument/2006/relationships/footer" Target="/word/footer.xml" Id="Rff848623b80b4f76" /></Relationships>
</file>