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5cf09891d47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Fain, Rolfes, Rivers, Pedersen, Ranker, Mullet, Billig, Becker, Braun, King, Darneille, Chase, Carlyle, and Palumbo)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freedom of expression rights of students at public schools and institutions of higher education; adding a new section to chapter 28A.600 RCW; adding a new section to chapter 28B.10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freedom of expression through school-sponsored media is a fundamental principle in our democratic society granted by the First Amendment to the United States Constitution and by Article I, section 5 of the state Constitution. It is the intent of the legislature to protect freedom of expression through school-sponsored media for both public school students and students at public institutions of higher education in this state in order to encourage students to become educated, informed, and responsible members of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Is an unwarranted invasion of privacy;</w:t>
      </w:r>
    </w:p>
    <w:p>
      <w:pPr>
        <w:spacing w:before="0" w:after="0" w:line="408" w:lineRule="exact"/>
        <w:ind w:left="0" w:right="0" w:firstLine="576"/>
        <w:jc w:val="left"/>
      </w:pPr>
      <w:r>
        <w:rPr/>
        <w:t xml:space="preserve">(c) Violates federal or state laws, rules, or regulations;</w:t>
      </w:r>
    </w:p>
    <w:p>
      <w:pPr>
        <w:spacing w:before="0" w:after="0" w:line="408" w:lineRule="exact"/>
        <w:ind w:left="0" w:right="0" w:firstLine="576"/>
        <w:jc w:val="left"/>
      </w:pPr>
      <w:r>
        <w:rPr/>
        <w:t xml:space="preserve">(d) Incites students to violate federal or state laws, rules, or regulations;</w:t>
      </w:r>
    </w:p>
    <w:p>
      <w:pPr>
        <w:spacing w:before="0" w:after="0" w:line="408" w:lineRule="exact"/>
        <w:ind w:left="0" w:right="0" w:firstLine="576"/>
        <w:jc w:val="left"/>
      </w:pPr>
      <w:r>
        <w:rPr/>
        <w:t xml:space="preserve">(e) Violates school district policy or procedure related to harassment, intimidation, or bullying pursuant to RCW 28A.300.285 or the prohibition on discrimination pursuant to RCW 28A.642.010;</w:t>
      </w:r>
    </w:p>
    <w:p>
      <w:pPr>
        <w:spacing w:before="0" w:after="0" w:line="408" w:lineRule="exact"/>
        <w:ind w:left="0" w:right="0" w:firstLine="576"/>
        <w:jc w:val="left"/>
      </w:pPr>
      <w:r>
        <w:rPr/>
        <w:t xml:space="preserve">(f)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district policy or procedure;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(g) Is in violation of the federal communications act or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policies, or procedures;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6e2e06240c046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f10998fec471f" /><Relationship Type="http://schemas.openxmlformats.org/officeDocument/2006/relationships/footer" Target="/word/footer.xml" Id="R76e2e06240c046e1" /></Relationships>
</file>