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6b0628473a47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5106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91</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5106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5106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 O'Ban)</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obligations under the involuntary treatment act; amending RCW 71.05.201, 71.05.203, 71.05.203, 71.05.590, 71.05.590, 71.05.590, 71.05.154, 71.05.154, 70.96A.140, 71.05.210, and 71.05.760; reenacting and amending RCW 71.05.201, 71.05.020, 71.05.210, 71.05.230, 71.05.290, 71.05.300, and 71.05.360; creating a new section;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may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mental health professional or designated mental health professional agency must refer the immediate family member, guardian, or conservator to a web site where published information on the petition process may be accessed. The designated mental health professional or designated mental health professional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and publish on its web site a user's guide to assist pro se litigants in the preparation and filing of a petition under RCW 71.05.201;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advanced registered nurse practitioner, or designated chemical dependency specialist</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w:t>
      </w:r>
      <w:r>
        <w:rPr>
          <w:u w:val="single"/>
        </w:rPr>
        <w:t xml:space="preserve">(a)(i)</w:t>
      </w:r>
      <w:r>
        <w:rPr/>
        <w:t xml:space="preserve">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The persons signing the petition must have examined the person.</w:t>
      </w:r>
    </w:p>
    <w:p>
      <w:pPr>
        <w:spacing w:before="0" w:after="0" w:line="408" w:lineRule="exact"/>
        <w:ind w:left="0" w:right="0" w:firstLine="576"/>
        <w:jc w:val="left"/>
      </w:pPr>
      <w:r>
        <w:rPr>
          <w:u w:val="single"/>
        </w:rPr>
        <w:t xml:space="preserve">(b)</w:t>
      </w:r>
      <w:r>
        <w:rPr/>
        <w:t xml:space="preserve">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2016 sp.s. c 29 s 235, 2016 c 155 s 6, and 2016 c 45 s 3 are each reenacted and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w:t>
      </w:r>
      <w:r>
        <w:rPr>
          <w:u w:val="single"/>
        </w:rPr>
        <w:t xml:space="preserve">(a)(i)</w:t>
      </w:r>
      <w:r>
        <w:rPr/>
        <w:t xml:space="preserve">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w:t>
      </w:r>
    </w:p>
    <w:p>
      <w:pPr>
        <w:spacing w:before="0" w:after="0" w:line="408" w:lineRule="exact"/>
        <w:ind w:left="0" w:right="0" w:firstLine="576"/>
        <w:jc w:val="left"/>
      </w:pPr>
      <w:r>
        <w:rPr>
          <w:u w:val="single"/>
        </w:rPr>
        <w:t xml:space="preserve">(b)</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2016 sp.s. c 29 s 236 and 2016 c 155 s 7 are each reenacted and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w:t>
      </w:r>
      <w:r>
        <w:t>((</w:t>
      </w:r>
      <w:r>
        <w:rPr>
          <w:strike/>
        </w:rPr>
        <w:t xml:space="preserve">or</w:t>
      </w:r>
      <w:r>
        <w:t>))</w:t>
      </w:r>
      <w:r>
        <w:rPr/>
        <w:t xml:space="preserve"> psychiatrist, </w:t>
      </w:r>
      <w:r>
        <w:rPr>
          <w:u w:val="single"/>
        </w:rPr>
        <w:t xml:space="preserve">or other professional person,</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2016 sp.s. c 29 s 244 and 2016 c 155 s 8 are each reenacted and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detoxification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detoxification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w:t>
      </w:r>
      <w:r>
        <w:t>((</w:t>
      </w:r>
      <w:r>
        <w:rPr>
          <w:strike/>
        </w:rPr>
        <w:t xml:space="preserve">licensed mental health</w:t>
      </w:r>
      <w:r>
        <w:t>))</w:t>
      </w:r>
      <w:r>
        <w:rPr/>
        <w:t xml:space="preserve"> </w:t>
      </w:r>
      <w:r>
        <w:rPr>
          <w:u w:val="single"/>
        </w:rPr>
        <w:t xml:space="preserve">other</w:t>
      </w:r>
      <w:r>
        <w:rPr/>
        <w:t xml:space="preserve"> professional </w:t>
      </w:r>
      <w:r>
        <w:rPr>
          <w:u w:val="single"/>
        </w:rPr>
        <w:t xml:space="preserve">person</w:t>
      </w:r>
      <w:r>
        <w:rPr/>
        <w:t xml:space="preserve">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through 21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p>
    <w:p/>
    <w:p>
      <w:pPr>
        <w:jc w:val="center"/>
      </w:pPr>
      <w:r>
        <w:rPr>
          <w:b/>
        </w:rPr>
        <w:t>--- END ---</w:t>
      </w:r>
    </w:p>
    <w:sectPr>
      <w:pgNumType w:start="1"/>
      <w:footerReference xmlns:r="http://schemas.openxmlformats.org/officeDocument/2006/relationships" r:id="R3c485826682849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5106.PL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21859e5acc4bd7" /><Relationship Type="http://schemas.openxmlformats.org/officeDocument/2006/relationships/footer" Target="/word/footer.xml" Id="R3c485826682849d8" /></Relationships>
</file>