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5c5a004d8741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5143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80</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5143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Zeiger, Rolfes, and Darneille)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84.36.049; amending 2016 c 217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w:t>
      </w:r>
      <w:r>
        <w:rPr>
          <w:u w:val="single"/>
        </w:rPr>
        <w:t xml:space="preserve">, or, in the case of land, to be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0" w:after="0" w:line="408" w:lineRule="exact"/>
        <w:ind w:left="0" w:right="0" w:firstLine="576"/>
        <w:jc w:val="left"/>
      </w:pPr>
      <w:r>
        <w:rPr>
          <w:u w:val="single"/>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u w:val="single"/>
        </w:rPr>
        <w:t xml:space="preserve">(10)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
      <w:pPr>
        <w:jc w:val="center"/>
      </w:pPr>
      <w:r>
        <w:rPr>
          <w:b/>
        </w:rPr>
        <w:t>--- END ---</w:t>
      </w:r>
    </w:p>
    <w:sectPr>
      <w:pgNumType w:start="1"/>
      <w:footerReference xmlns:r="http://schemas.openxmlformats.org/officeDocument/2006/relationships" r:id="R173eebc1f3334b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4e698244334db2" /><Relationship Type="http://schemas.openxmlformats.org/officeDocument/2006/relationships/footer" Target="/word/footer.xml" Id="R173eebc1f3334b63" /></Relationships>
</file>