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1fd2aed69e4ac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5179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80</w:t>
            </w:r>
            <w:r>
              <w:t xml:space="preserve">  Nays </w:t>
              <w:t xml:space="preserve">18</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5179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5179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Bailey, Keiser, Palumbo, Hasegawa, and Conway)</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coverage for hearing instruments under public employee and medicaid programs; adding a new section to chapter 41.05 RCW;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appropriation, a health plan offered to employees and their covered dependents under this chapter issued or renewed on or after January 1, 2019, must include coverage for hearing instruments. Coverage must include a new hearing instrument every five years and services and supplies such as the initial assessment, fitting, adjustment, and auditory training.</w:t>
      </w:r>
    </w:p>
    <w:p>
      <w:pPr>
        <w:spacing w:before="0" w:after="0" w:line="408" w:lineRule="exact"/>
        <w:ind w:left="0" w:right="0" w:firstLine="576"/>
        <w:jc w:val="left"/>
      </w:pPr>
      <w:r>
        <w:rPr/>
        <w:t xml:space="preserve">(2) The hearing instrument must be recommended by a licensed audiologist, hearing aid specialist, or a licensed physician or osteopathic physician who specializes in otolaryngology and dispensed by a licensed audiologist, hearing aid specialist, or a licensed physician or osteopathic physician who specializes in otolaryngology.</w:t>
      </w:r>
    </w:p>
    <w:p>
      <w:pPr>
        <w:spacing w:before="0" w:after="0" w:line="408" w:lineRule="exact"/>
        <w:ind w:left="0" w:right="0" w:firstLine="576"/>
        <w:jc w:val="left"/>
      </w:pPr>
      <w:r>
        <w:rPr/>
        <w:t xml:space="preserve">(3) For the purposes of this section, "hearing instrument" and "hearing aid specialist" have the same meaning as defined in RCW 18.35.010.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medical assistance coverage offered under this chapter issued or renewed on or after January 1, 2019, must include coverage for hearing instruments when medically necessary. Coverage must include a new hearing instrument every five years, a new hearing instrument when alterations to the existing hearing instrument cannot meet the needs of the patient, and services and supplies such as the initial assessment, fitting, adjustment, and auditory training.</w:t>
      </w:r>
    </w:p>
    <w:p>
      <w:pPr>
        <w:spacing w:before="0" w:after="0" w:line="408" w:lineRule="exact"/>
        <w:ind w:left="0" w:right="0" w:firstLine="576"/>
        <w:jc w:val="left"/>
      </w:pPr>
      <w:r>
        <w:rPr/>
        <w:t xml:space="preserve">(2) The hearing instrument must be recommended by a licensed audiologist, hearing aid specialist, or a licensed physician or osteopathic physician who specializes in otolaryngology and dispensed by a licensed audiologist, hearing aid specialist, or a licensed physician or osteopathic physician who specializes in otolaryngology.</w:t>
      </w:r>
    </w:p>
    <w:p>
      <w:pPr>
        <w:spacing w:before="0" w:after="0" w:line="408" w:lineRule="exact"/>
        <w:ind w:left="0" w:right="0" w:firstLine="576"/>
        <w:jc w:val="left"/>
      </w:pPr>
      <w:r>
        <w:rPr/>
        <w:t xml:space="preserve">(3) For purposes of this section, "hearing instrument" and "hearing aid specialist" have the same meaning as defined in RCW 18.35.010.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2 of this act, referencing section 2 of this act by bill or chapter number and section number, is not provided by June 30, 2018, in the omnibus appropriations act, section 2 of this act is null and void.</w:t>
      </w:r>
    </w:p>
    <w:p/>
    <w:p>
      <w:pPr>
        <w:jc w:val="center"/>
      </w:pPr>
      <w:r>
        <w:rPr>
          <w:b/>
        </w:rPr>
        <w:t>--- END ---</w:t>
      </w:r>
    </w:p>
    <w:sectPr>
      <w:pgNumType w:start="1"/>
      <w:footerReference xmlns:r="http://schemas.openxmlformats.org/officeDocument/2006/relationships" r:id="R991ba9b4dafa4f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391cddc48d4853" /><Relationship Type="http://schemas.openxmlformats.org/officeDocument/2006/relationships/footer" Target="/word/footer.xml" Id="R991ba9b4dafa4f6f" /></Relationships>
</file>