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1fd2aed69e4a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5179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80</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Bailey, Keiser, Palumbo, Hasegawa, and Conway)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under public employee and medicaid programs; adding a new section to chapter 41.05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appropriation, a health plan offered to employees and their covered dependents under this chapter issued or renewed on or after January 1, 2019, must include coverage for hearing instruments. Coverage must include a new hearing instrument every five years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hearing aid specialist, or a licensed physician or osteopathic physician who specializes in otolaryngology and dispensed by a licensed audiologist, hearing aid specialist, or a licensed physician or osteopathic physician who specializes in otolaryngology.</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medical assistance coverage offered under this chapter issued or renewed on or after January 1, 2019, must include coverage for hearing instruments when medically necessary. Coverage must include a new hearing instrument every five years, a new hearing instrument when alterations to the existing hearing instrument cannot meet the needs of the patient,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hearing aid specialist, or a licensed physician or osteopathic physician who specializes in otolaryngology and dispensed by a licensed audiologist, hearing aid specialist, or a licensed physician or osteopathic physician who specializes in otolaryngology.</w:t>
      </w:r>
    </w:p>
    <w:p>
      <w:pPr>
        <w:spacing w:before="0" w:after="0" w:line="408" w:lineRule="exact"/>
        <w:ind w:left="0" w:right="0" w:firstLine="576"/>
        <w:jc w:val="left"/>
      </w:pPr>
      <w:r>
        <w:rPr/>
        <w:t xml:space="preserve">(3) For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and section number, is not provided by June 30, 2018, in the omnibus appropriations act, section 2 of this act is null and void.</w:t>
      </w:r>
    </w:p>
    <w:p/>
    <w:p>
      <w:pPr>
        <w:jc w:val="center"/>
      </w:pPr>
      <w:r>
        <w:rPr>
          <w:b/>
        </w:rPr>
        <w:t>--- END ---</w:t>
      </w:r>
    </w:p>
    <w:sectPr>
      <w:pgNumType w:start="1"/>
      <w:footerReference xmlns:r="http://schemas.openxmlformats.org/officeDocument/2006/relationships" r:id="R991ba9b4dafa4f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391cddc48d4853" /><Relationship Type="http://schemas.openxmlformats.org/officeDocument/2006/relationships/footer" Target="/word/footer.xml" Id="R991ba9b4dafa4f6f" /></Relationships>
</file>