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8f5112dec74c4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5207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15, 2017</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83</w:t>
            </w:r>
            <w:r>
              <w:t xml:space="preserve">  Nays </w:t>
              <w:t xml:space="preserve">14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5207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State Government (originally sponsored by Senators Kuderer, Miloscia, Frockt, Zeiger, Hobbs, Keiser, Chase, and Hunt; by request of Department of Enterprise Services)</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of global positioning system data corresponding to residential addresses of public employees and volunteers;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The global positioning system data that would indicate the location of the residence of a public employee or volunteer using the global positioning system recording device</w:t>
      </w:r>
      <w:r>
        <w:rPr/>
        <w:t xml:space="preserve">.</w:t>
      </w:r>
    </w:p>
    <w:p/>
    <w:p>
      <w:pPr>
        <w:jc w:val="center"/>
      </w:pPr>
      <w:r>
        <w:rPr>
          <w:b/>
        </w:rPr>
        <w:t>--- END ---</w:t>
      </w:r>
    </w:p>
    <w:sectPr>
      <w:pgNumType w:start="1"/>
      <w:footerReference xmlns:r="http://schemas.openxmlformats.org/officeDocument/2006/relationships" r:id="Rc894ee34dd8645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77b589ca244682" /><Relationship Type="http://schemas.openxmlformats.org/officeDocument/2006/relationships/footer" Target="/word/footer.xml" Id="Rc894ee34dd864556" /></Relationships>
</file>