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a614ce23c49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5234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71</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5234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5234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Mullet, Palumbo, Rivers, Liias, Wilson, and Kuderer</w:t>
      </w:r>
    </w:p>
    <w:p/>
    <w:p>
      <w:r>
        <w:rPr>
          <w:t xml:space="preserve">Read first time 01/18/17.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AP exams;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coursework prepares students for postsecondary success and provides opportunities for them to earn college credit or secure placement in advanced courses. The legislature further finds that eighty-four thousand eight hundred sixty-six students took an AP exam in Washington state in 2015. The legislature further finds that six thousand six hundred sixty-seven of those students were underrepresented minority students and nine thousand four hundred seventy-one were low-income students. The legislature further finds that of the students that took an AP exam in Washington state in 2015, fifty-one thousand seven hundred twenty-five scored a three, four, or five.</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earned a minimum score of three on their AP exams and clearly communicate credit awarding policies and course equivalencies to students. The goal of the policy is to award course credit in all appropriate instances and maximize the number of college students given college credit for AP exam scores of three or higher.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to students who have earned minimum scores of three on AP exams as possible and appropriate.</w:t>
      </w:r>
    </w:p>
    <w:p>
      <w:pPr>
        <w:spacing w:before="0" w:after="0" w:line="408" w:lineRule="exact"/>
        <w:ind w:left="0" w:right="0" w:firstLine="576"/>
        <w:jc w:val="left"/>
      </w:pPr>
      <w:r>
        <w:rPr/>
        <w:t xml:space="preserve">(2) Credit policy regarding all AP exams must be posted on campus web sites effective for the 2017 fall academic term. The institutions of higher education must conduct biennial reviews of their AP credit policy and report noncompliance to the appropriate committees of the legislature by November 1st each year beginning November 1, 2019.</w:t>
      </w:r>
    </w:p>
    <w:p/>
    <w:p>
      <w:pPr>
        <w:jc w:val="center"/>
      </w:pPr>
      <w:r>
        <w:rPr>
          <w:b/>
        </w:rPr>
        <w:t>--- END ---</w:t>
      </w:r>
    </w:p>
    <w:sectPr>
      <w:pgNumType w:start="1"/>
      <w:footerReference xmlns:r="http://schemas.openxmlformats.org/officeDocument/2006/relationships" r:id="R4188c372433648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32ee417c0479f" /><Relationship Type="http://schemas.openxmlformats.org/officeDocument/2006/relationships/footer" Target="/word/footer.xml" Id="R4188c3724336489d" /></Relationships>
</file>