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a2f4cace045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5268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Chase, Warnick, Schoesler, King, Sheldon, Saldaña, Cleveland, Pearson, Honeyford, Hawkins, Wilson, Becker, and Hasegawa</w:t>
      </w:r>
    </w:p>
    <w:p/>
    <w:p>
      <w:r>
        <w:rPr>
          <w:t xml:space="preserve">Read first time 01/18/17.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the licensee before a concealed pistol license expires; amending RCW 9.41.070;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9.41.070 and 2017 c ... (SHB 1100)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w:t>
      </w:r>
      <w:r>
        <w:rPr>
          <w:u w:val="single"/>
        </w:rPr>
        <w:t xml:space="preserve">email address at the option of the applicant,</w:t>
      </w:r>
      <w:r>
        <w:rPr/>
        <w:t xml:space="preserve">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 (section 2, chapter . . . (SHB 1100), Laws of 2017).</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 (section 2, chapter . . . (SHB 1100), Laws of 2017).</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w:t>
      </w:r>
      <w:r>
        <w:rPr>
          <w:u w:val="single"/>
        </w:rPr>
        <w:t xml:space="preserve">Alternatively, if the licensee provides an email address at the time of license application, the department of licensing may send the renewal notice to the licensee's email address.</w:t>
      </w:r>
      <w:r>
        <w:rPr/>
        <w:t xml:space="preserve">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from the firearms range account by June 30, 2017, in the omnibus appropriations act, this act is null and void.</w:t>
      </w:r>
    </w:p>
    <w:p/>
    <w:p>
      <w:pPr>
        <w:jc w:val="center"/>
      </w:pPr>
      <w:r>
        <w:rPr>
          <w:b/>
        </w:rPr>
        <w:t>--- END ---</w:t>
      </w:r>
    </w:p>
    <w:sectPr>
      <w:pgNumType w:start="1"/>
      <w:footerReference xmlns:r="http://schemas.openxmlformats.org/officeDocument/2006/relationships" r:id="Rc1cf32824b7b4f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c6d16bac24e65" /><Relationship Type="http://schemas.openxmlformats.org/officeDocument/2006/relationships/footer" Target="/word/footer.xml" Id="Rc1cf32824b7b4f48" /></Relationships>
</file>